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69C12" w14:textId="533739E9" w:rsidR="007D2814" w:rsidRDefault="00DD102F">
      <w:pPr>
        <w:pStyle w:val="Heading1"/>
      </w:pPr>
      <w:bookmarkStart w:id="0" w:name="_Toc199239188"/>
      <w:bookmarkStart w:id="1" w:name="_Toc201571399"/>
      <w:bookmarkStart w:id="2" w:name="_Toc529361848"/>
      <w:bookmarkStart w:id="3" w:name="_Toc529362068"/>
      <w:bookmarkStart w:id="4" w:name="_Toc529362562"/>
      <w:r>
        <w:t>Instalarea pompelor de căldură în Moldova</w:t>
      </w:r>
      <w:bookmarkEnd w:id="0"/>
      <w:bookmarkEnd w:id="1"/>
    </w:p>
    <w:p w14:paraId="479E535A" w14:textId="384F065D" w:rsidR="007D2814" w:rsidRDefault="00DD102F">
      <w:pPr>
        <w:pStyle w:val="Heading1"/>
      </w:pPr>
      <w:bookmarkStart w:id="5" w:name="_Toc6473125"/>
      <w:bookmarkStart w:id="6" w:name="_Toc14355776"/>
      <w:bookmarkStart w:id="7" w:name="_Toc24030428"/>
      <w:bookmarkStart w:id="8" w:name="_Toc27403894"/>
      <w:bookmarkStart w:id="9" w:name="_Toc31790239"/>
      <w:bookmarkStart w:id="10" w:name="_Toc31878817"/>
      <w:bookmarkStart w:id="11" w:name="_Toc179360624"/>
      <w:bookmarkStart w:id="12" w:name="_Toc199239189"/>
      <w:bookmarkStart w:id="13" w:name="_Toc201571400"/>
      <w:r>
        <w:rPr>
          <w:b w:val="0"/>
          <w:noProof/>
          <w:sz w:val="28"/>
          <w:szCs w:val="28"/>
          <w:lang w:val="en-US"/>
        </w:rPr>
        <w:drawing>
          <wp:anchor distT="0" distB="0" distL="114300" distR="114300" simplePos="0" relativeHeight="251662336" behindDoc="0" locked="0" layoutInCell="1" allowOverlap="1" wp14:anchorId="29D1D3E8" wp14:editId="71BB45A4">
            <wp:simplePos x="0" y="0"/>
            <wp:positionH relativeFrom="column">
              <wp:posOffset>806352</wp:posOffset>
            </wp:positionH>
            <wp:positionV relativeFrom="paragraph">
              <wp:posOffset>3633763</wp:posOffset>
            </wp:positionV>
            <wp:extent cx="5361430" cy="4771368"/>
            <wp:effectExtent l="19050" t="19050" r="10795" b="10795"/>
            <wp:wrapNone/>
            <wp:docPr id="20" name="Imagine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eneral technical tips.png (în limba engleză)"/>
                    <pic:cNvPicPr/>
                  </pic:nvPicPr>
                  <pic:blipFill>
                    <a:blip r:embed="rId11">
                      <a:extLst>
                        <a:ext uri="{28A0092B-C50C-407E-A947-70E740481C1C}">
                          <a14:useLocalDpi xmlns:a14="http://schemas.microsoft.com/office/drawing/2010/main" val="0"/>
                        </a:ext>
                      </a:extLst>
                    </a:blip>
                    <a:stretch>
                      <a:fillRect/>
                    </a:stretch>
                  </pic:blipFill>
                  <pic:spPr>
                    <a:xfrm>
                      <a:off x="0" y="0"/>
                      <a:ext cx="5369787" cy="47788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bookmarkEnd w:id="5"/>
      <w:bookmarkEnd w:id="6"/>
      <w:bookmarkEnd w:id="7"/>
      <w:bookmarkEnd w:id="8"/>
      <w:bookmarkEnd w:id="9"/>
      <w:bookmarkEnd w:id="10"/>
      <w:bookmarkEnd w:id="11"/>
      <w:r>
        <w:t>O foaie de parcurs pentru decarbonizare și securitatea energetică</w:t>
      </w:r>
      <w:bookmarkEnd w:id="12"/>
      <w:bookmarkEnd w:id="13"/>
    </w:p>
    <w:p w14:paraId="1FF0846E" w14:textId="77777777" w:rsidR="007D2814" w:rsidRDefault="007D2814">
      <w:pPr>
        <w:sectPr w:rsidR="007D2814" w:rsidSect="00674FAE">
          <w:headerReference w:type="even" r:id="rId12"/>
          <w:headerReference w:type="default" r:id="rId13"/>
          <w:footerReference w:type="even" r:id="rId14"/>
          <w:footerReference w:type="default" r:id="rId15"/>
          <w:endnotePr>
            <w:numFmt w:val="decimal"/>
            <w:numRestart w:val="eachSect"/>
          </w:endnotePr>
          <w:pgSz w:w="11906" w:h="16838" w:code="9"/>
          <w:pgMar w:top="1588" w:right="1588" w:bottom="1588" w:left="1588" w:header="709" w:footer="709" w:gutter="0"/>
          <w:cols w:space="708"/>
          <w:docGrid w:linePitch="360"/>
        </w:sectPr>
      </w:pPr>
    </w:p>
    <w:p w14:paraId="6915368B" w14:textId="77777777" w:rsidR="007D2814" w:rsidRDefault="00DD102F">
      <w:pPr>
        <w:pStyle w:val="P68B1DB1-Titlu1"/>
        <w:spacing w:line="213" w:lineRule="auto"/>
      </w:pPr>
      <w:bookmarkStart w:id="14" w:name="_Hlk109207541"/>
      <w:bookmarkStart w:id="15" w:name="_Hlk109207623"/>
      <w:r>
        <w:lastRenderedPageBreak/>
        <w:t>AGENȚIA INTERNAȚIONALĂ DE ENERGIE</w:t>
      </w:r>
    </w:p>
    <w:p w14:paraId="6DDA5061" w14:textId="77777777" w:rsidR="007D2814" w:rsidRDefault="007D2814">
      <w:pPr>
        <w:spacing w:before="11"/>
        <w:rPr>
          <w:rFonts w:cs="Arial"/>
          <w:b/>
          <w:sz w:val="13"/>
        </w:rPr>
        <w:sectPr w:rsidR="007D2814" w:rsidSect="00CD1D20">
          <w:headerReference w:type="default" r:id="rId16"/>
          <w:footerReference w:type="default" r:id="rId17"/>
          <w:endnotePr>
            <w:numFmt w:val="decimal"/>
            <w:numRestart w:val="eachSect"/>
          </w:endnotePr>
          <w:pgSz w:w="11906" w:h="16838" w:code="9"/>
          <w:pgMar w:top="1588" w:right="1588" w:bottom="1588" w:left="1588" w:header="709" w:footer="709" w:gutter="0"/>
          <w:cols w:space="708"/>
          <w:docGrid w:linePitch="360"/>
        </w:sectPr>
      </w:pPr>
    </w:p>
    <w:p w14:paraId="6B4A89EE" w14:textId="77777777" w:rsidR="007D2814" w:rsidRDefault="00DD102F">
      <w:pPr>
        <w:pStyle w:val="P68B1DB1-Normal2"/>
        <w:spacing w:before="11"/>
        <w:rPr>
          <w:b/>
          <w:sz w:val="13"/>
        </w:rPr>
      </w:pPr>
      <w:r>
        <w:rPr>
          <w:noProof/>
          <w:lang w:val="en-US"/>
        </w:rPr>
        <mc:AlternateContent>
          <mc:Choice Requires="wps">
            <w:drawing>
              <wp:anchor distT="0" distB="0" distL="0" distR="0" simplePos="0" relativeHeight="251672576" behindDoc="1" locked="0" layoutInCell="1" allowOverlap="1" wp14:anchorId="386BA707" wp14:editId="14F39A87">
                <wp:simplePos x="0" y="0"/>
                <wp:positionH relativeFrom="page">
                  <wp:posOffset>1308100</wp:posOffset>
                </wp:positionH>
                <wp:positionV relativeFrom="paragraph">
                  <wp:posOffset>194945</wp:posOffset>
                </wp:positionV>
                <wp:extent cx="390525" cy="1270"/>
                <wp:effectExtent l="31750" t="37465" r="34925" b="37465"/>
                <wp:wrapTopAndBottom/>
                <wp:docPr id="28" name="Formă liberă: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0525" cy="1270"/>
                        </a:xfrm>
                        <a:custGeom>
                          <a:avLst/>
                          <a:gdLst>
                            <a:gd name="T0" fmla="+- 0 2060 2060"/>
                            <a:gd name="T1" fmla="*/ T0 w 615"/>
                            <a:gd name="T2" fmla="+- 0 2675 2060"/>
                            <a:gd name="T3" fmla="*/ T2 w 615"/>
                          </a:gdLst>
                          <a:ahLst/>
                          <a:cxnLst>
                            <a:cxn ang="0">
                              <a:pos x="T1" y="0"/>
                            </a:cxn>
                            <a:cxn ang="0">
                              <a:pos x="T3" y="0"/>
                            </a:cxn>
                          </a:cxnLst>
                          <a:rect l="0" t="0" r="r" b="b"/>
                          <a:pathLst>
                            <a:path w="615">
                              <a:moveTo>
                                <a:pt x="0" y="0"/>
                              </a:moveTo>
                              <a:lnTo>
                                <a:pt x="615" y="0"/>
                              </a:lnTo>
                            </a:path>
                          </a:pathLst>
                        </a:custGeom>
                        <a:noFill/>
                        <a:ln w="622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80BD9" id="Formă liberă: Forma 28" o:spid="_x0000_s1026" style="position:absolute;margin-left:103pt;margin-top:15.35pt;width:30.7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" path="m,l615,e" filled="f" strokeweight="1.72931mm">
                <v:path arrowok="t" o:connecttype="custom" o:connectlocs="0,0;390525,0" o:connectangles="0,0"/>
                <w10:wrap type="topAndBottom" anchorx="page"/>
              </v:shape>
            </w:pict>
          </mc:Fallback>
        </mc:AlternateContent>
      </w:r>
    </w:p>
    <w:p w14:paraId="259A507F" w14:textId="77777777" w:rsidR="007D2814" w:rsidRDefault="007D2814">
      <w:pPr>
        <w:spacing w:before="124" w:line="220" w:lineRule="auto"/>
        <w:ind w:left="375" w:right="204"/>
        <w:rPr>
          <w:rFonts w:cs="Arial"/>
          <w:sz w:val="18"/>
        </w:rPr>
      </w:pPr>
    </w:p>
    <w:p w14:paraId="2C0ED44E" w14:textId="77777777" w:rsidR="007D2814" w:rsidRDefault="007D2814">
      <w:pPr>
        <w:spacing w:before="1" w:line="220" w:lineRule="auto"/>
        <w:ind w:left="375" w:right="45"/>
        <w:rPr>
          <w:rFonts w:cs="Arial"/>
          <w:sz w:val="18"/>
        </w:rPr>
      </w:pPr>
    </w:p>
    <w:p w14:paraId="4FF388B4" w14:textId="77777777" w:rsidR="007D2814" w:rsidRDefault="007D2814">
      <w:pPr>
        <w:spacing w:before="1" w:line="220" w:lineRule="auto"/>
        <w:ind w:left="375" w:right="45"/>
        <w:rPr>
          <w:rFonts w:cs="Arial"/>
          <w:sz w:val="18"/>
        </w:rPr>
      </w:pPr>
    </w:p>
    <w:p w14:paraId="4CD04F76" w14:textId="77777777" w:rsidR="007D2814" w:rsidRDefault="007D2814">
      <w:pPr>
        <w:spacing w:before="1" w:line="220" w:lineRule="auto"/>
        <w:ind w:left="375" w:right="45"/>
        <w:rPr>
          <w:rFonts w:cs="Arial"/>
          <w:sz w:val="18"/>
        </w:rPr>
      </w:pPr>
    </w:p>
    <w:p w14:paraId="6E85352F" w14:textId="77777777" w:rsidR="007D2814" w:rsidRDefault="007D2814">
      <w:pPr>
        <w:spacing w:before="1" w:line="220" w:lineRule="auto"/>
        <w:ind w:left="375" w:right="45"/>
        <w:rPr>
          <w:rFonts w:cs="Arial"/>
          <w:sz w:val="18"/>
        </w:rPr>
      </w:pPr>
    </w:p>
    <w:p w14:paraId="07564BAE" w14:textId="77777777" w:rsidR="007D2814" w:rsidRDefault="007D2814">
      <w:pPr>
        <w:spacing w:before="1" w:line="220" w:lineRule="auto"/>
        <w:ind w:left="375" w:right="45"/>
        <w:rPr>
          <w:rFonts w:cs="Arial"/>
          <w:sz w:val="18"/>
        </w:rPr>
      </w:pPr>
    </w:p>
    <w:p w14:paraId="14A21294" w14:textId="77777777" w:rsidR="007D2814" w:rsidRDefault="007D2814">
      <w:pPr>
        <w:spacing w:before="1" w:line="220" w:lineRule="auto"/>
        <w:ind w:left="375" w:right="45"/>
        <w:rPr>
          <w:rFonts w:cs="Arial"/>
          <w:sz w:val="18"/>
        </w:rPr>
      </w:pPr>
    </w:p>
    <w:p w14:paraId="28AF6C5E" w14:textId="77777777" w:rsidR="007D2814" w:rsidRDefault="007D2814">
      <w:pPr>
        <w:spacing w:before="1" w:line="220" w:lineRule="auto"/>
        <w:ind w:left="375" w:right="45"/>
        <w:rPr>
          <w:rFonts w:cs="Arial"/>
          <w:sz w:val="18"/>
        </w:rPr>
      </w:pPr>
    </w:p>
    <w:p w14:paraId="6CDD1941" w14:textId="77777777" w:rsidR="007D2814" w:rsidRDefault="007D2814">
      <w:pPr>
        <w:spacing w:before="1" w:line="220" w:lineRule="auto"/>
        <w:ind w:left="375" w:right="45"/>
        <w:rPr>
          <w:rFonts w:cs="Arial"/>
          <w:sz w:val="18"/>
        </w:rPr>
      </w:pPr>
    </w:p>
    <w:p w14:paraId="791EBAE9" w14:textId="77777777" w:rsidR="007D2814" w:rsidRDefault="007D2814">
      <w:pPr>
        <w:spacing w:before="1" w:line="220" w:lineRule="auto"/>
        <w:ind w:left="375" w:right="45"/>
        <w:rPr>
          <w:rFonts w:cs="Arial"/>
          <w:sz w:val="18"/>
        </w:rPr>
      </w:pPr>
    </w:p>
    <w:p w14:paraId="2AF576DB" w14:textId="77777777" w:rsidR="007D2814" w:rsidRDefault="007D2814">
      <w:pPr>
        <w:spacing w:before="1" w:line="220" w:lineRule="auto"/>
        <w:ind w:left="375" w:right="45"/>
        <w:rPr>
          <w:rFonts w:cs="Arial"/>
          <w:sz w:val="18"/>
        </w:rPr>
      </w:pPr>
    </w:p>
    <w:p w14:paraId="25DD6CED" w14:textId="77777777" w:rsidR="007D2814" w:rsidRDefault="007D2814">
      <w:pPr>
        <w:spacing w:before="1" w:line="220" w:lineRule="auto"/>
        <w:ind w:left="375" w:right="45"/>
        <w:rPr>
          <w:rFonts w:cs="Arial"/>
          <w:sz w:val="18"/>
        </w:rPr>
      </w:pPr>
    </w:p>
    <w:p w14:paraId="3AA890DF" w14:textId="77777777" w:rsidR="007D2814" w:rsidRDefault="007D2814">
      <w:pPr>
        <w:spacing w:before="1" w:line="220" w:lineRule="auto"/>
        <w:ind w:left="375" w:right="45"/>
        <w:rPr>
          <w:rFonts w:cs="Arial"/>
          <w:sz w:val="18"/>
        </w:rPr>
      </w:pPr>
    </w:p>
    <w:p w14:paraId="6FCA8D81" w14:textId="77777777" w:rsidR="007D2814" w:rsidRDefault="007D2814">
      <w:pPr>
        <w:spacing w:before="1" w:line="220" w:lineRule="auto"/>
        <w:ind w:left="375" w:right="45"/>
        <w:rPr>
          <w:rFonts w:cs="Arial"/>
          <w:sz w:val="18"/>
        </w:rPr>
      </w:pPr>
    </w:p>
    <w:p w14:paraId="48A38D8A" w14:textId="77777777" w:rsidR="007D2814" w:rsidRDefault="007D2814">
      <w:pPr>
        <w:spacing w:before="1" w:line="220" w:lineRule="auto"/>
        <w:ind w:left="375" w:right="45"/>
        <w:rPr>
          <w:rFonts w:cs="Arial"/>
          <w:sz w:val="18"/>
        </w:rPr>
      </w:pPr>
    </w:p>
    <w:p w14:paraId="4579D4C1" w14:textId="77777777" w:rsidR="007D2814" w:rsidRDefault="007D2814">
      <w:pPr>
        <w:spacing w:before="1" w:line="220" w:lineRule="auto"/>
        <w:ind w:left="375" w:right="45"/>
        <w:rPr>
          <w:rFonts w:cs="Arial"/>
          <w:sz w:val="18"/>
        </w:rPr>
      </w:pPr>
    </w:p>
    <w:p w14:paraId="6DE3BFFC" w14:textId="77777777" w:rsidR="007D2814" w:rsidRDefault="007D2814">
      <w:pPr>
        <w:spacing w:before="1" w:line="220" w:lineRule="auto"/>
        <w:ind w:left="375" w:right="45"/>
        <w:rPr>
          <w:rFonts w:cs="Arial"/>
          <w:sz w:val="18"/>
        </w:rPr>
      </w:pPr>
    </w:p>
    <w:p w14:paraId="55491883" w14:textId="77777777" w:rsidR="007D2814" w:rsidRDefault="007D2814">
      <w:pPr>
        <w:spacing w:before="1" w:line="220" w:lineRule="auto"/>
        <w:ind w:left="375" w:right="45"/>
        <w:rPr>
          <w:rFonts w:cs="Arial"/>
          <w:sz w:val="18"/>
        </w:rPr>
      </w:pPr>
    </w:p>
    <w:p w14:paraId="703E3E11" w14:textId="77777777" w:rsidR="007D2814" w:rsidRDefault="007D2814">
      <w:pPr>
        <w:spacing w:before="1" w:line="220" w:lineRule="auto"/>
        <w:ind w:left="375" w:right="45"/>
        <w:rPr>
          <w:rFonts w:cs="Arial"/>
          <w:sz w:val="18"/>
        </w:rPr>
      </w:pPr>
    </w:p>
    <w:p w14:paraId="1EE00245" w14:textId="77777777" w:rsidR="007D2814" w:rsidRDefault="007D2814">
      <w:pPr>
        <w:spacing w:before="1" w:line="220" w:lineRule="auto"/>
        <w:ind w:left="375" w:right="45"/>
        <w:rPr>
          <w:rFonts w:cs="Arial"/>
          <w:sz w:val="18"/>
        </w:rPr>
      </w:pPr>
    </w:p>
    <w:p w14:paraId="12C3E0B8" w14:textId="77777777" w:rsidR="007D2814" w:rsidRDefault="007D2814">
      <w:pPr>
        <w:spacing w:before="1" w:line="220" w:lineRule="auto"/>
        <w:ind w:left="375" w:right="45"/>
        <w:rPr>
          <w:rFonts w:cs="Arial"/>
          <w:sz w:val="18"/>
        </w:rPr>
      </w:pPr>
    </w:p>
    <w:p w14:paraId="7F90A98A" w14:textId="77777777" w:rsidR="007D2814" w:rsidRDefault="007D2814">
      <w:pPr>
        <w:spacing w:before="1" w:line="220" w:lineRule="auto"/>
        <w:ind w:left="375" w:right="45"/>
        <w:rPr>
          <w:rFonts w:cs="Arial"/>
          <w:sz w:val="18"/>
        </w:rPr>
      </w:pPr>
    </w:p>
    <w:p w14:paraId="6BC503E6" w14:textId="77777777" w:rsidR="007D2814" w:rsidRDefault="007D2814">
      <w:pPr>
        <w:spacing w:before="1" w:line="220" w:lineRule="auto"/>
        <w:ind w:left="375" w:right="45"/>
        <w:rPr>
          <w:rFonts w:cs="Arial"/>
          <w:sz w:val="18"/>
        </w:rPr>
      </w:pPr>
    </w:p>
    <w:p w14:paraId="003376A2" w14:textId="77777777" w:rsidR="007D2814" w:rsidRDefault="007D2814">
      <w:pPr>
        <w:spacing w:before="1" w:line="220" w:lineRule="auto"/>
        <w:ind w:left="375" w:right="45"/>
        <w:rPr>
          <w:rFonts w:cs="Arial"/>
          <w:sz w:val="18"/>
        </w:rPr>
      </w:pPr>
    </w:p>
    <w:p w14:paraId="515AE3DE" w14:textId="77777777" w:rsidR="007D2814" w:rsidRDefault="007D2814">
      <w:pPr>
        <w:spacing w:before="1" w:line="220" w:lineRule="auto"/>
        <w:ind w:left="375" w:right="45"/>
        <w:rPr>
          <w:rFonts w:cs="Arial"/>
          <w:sz w:val="18"/>
        </w:rPr>
      </w:pPr>
    </w:p>
    <w:p w14:paraId="26E48C46" w14:textId="77777777" w:rsidR="007D2814" w:rsidRDefault="007D2814">
      <w:pPr>
        <w:spacing w:before="1" w:line="220" w:lineRule="auto"/>
        <w:ind w:left="375" w:right="45"/>
        <w:rPr>
          <w:rFonts w:cs="Arial"/>
          <w:sz w:val="18"/>
        </w:rPr>
      </w:pPr>
    </w:p>
    <w:p w14:paraId="28E62C61" w14:textId="77777777" w:rsidR="007D2814" w:rsidRDefault="007D2814">
      <w:pPr>
        <w:spacing w:before="1" w:line="220" w:lineRule="auto"/>
        <w:ind w:left="375" w:right="45"/>
        <w:rPr>
          <w:rFonts w:cs="Arial"/>
          <w:sz w:val="18"/>
        </w:rPr>
      </w:pPr>
    </w:p>
    <w:p w14:paraId="21413BA3" w14:textId="77777777" w:rsidR="007D2814" w:rsidRDefault="007D2814">
      <w:pPr>
        <w:spacing w:before="1" w:line="220" w:lineRule="auto"/>
        <w:ind w:left="375" w:right="45"/>
        <w:rPr>
          <w:rFonts w:cs="Arial"/>
          <w:sz w:val="18"/>
        </w:rPr>
      </w:pPr>
    </w:p>
    <w:p w14:paraId="5E99B11B" w14:textId="77777777" w:rsidR="007D2814" w:rsidRDefault="007D2814">
      <w:pPr>
        <w:spacing w:before="1" w:line="220" w:lineRule="auto"/>
        <w:ind w:left="375" w:right="45"/>
        <w:rPr>
          <w:rFonts w:cs="Arial"/>
          <w:sz w:val="18"/>
        </w:rPr>
      </w:pPr>
    </w:p>
    <w:p w14:paraId="492C514B" w14:textId="77777777" w:rsidR="007D2814" w:rsidRDefault="007D2814">
      <w:pPr>
        <w:spacing w:before="1" w:line="220" w:lineRule="auto"/>
        <w:ind w:left="375" w:right="45"/>
        <w:rPr>
          <w:rFonts w:cs="Arial"/>
          <w:sz w:val="18"/>
        </w:rPr>
      </w:pPr>
    </w:p>
    <w:p w14:paraId="44378715" w14:textId="77777777" w:rsidR="007D2814" w:rsidRDefault="007D2814">
      <w:pPr>
        <w:spacing w:before="1" w:line="220" w:lineRule="auto"/>
        <w:ind w:left="375" w:right="45"/>
        <w:rPr>
          <w:rFonts w:cs="Arial"/>
          <w:sz w:val="18"/>
        </w:rPr>
      </w:pPr>
    </w:p>
    <w:p w14:paraId="21460C7E" w14:textId="77777777" w:rsidR="007D2814" w:rsidRDefault="007D2814">
      <w:pPr>
        <w:spacing w:before="1" w:line="220" w:lineRule="auto"/>
        <w:ind w:left="375" w:right="45"/>
        <w:rPr>
          <w:rFonts w:cs="Arial"/>
          <w:sz w:val="18"/>
        </w:rPr>
      </w:pPr>
    </w:p>
    <w:p w14:paraId="175A0BC7" w14:textId="77777777" w:rsidR="007D2814" w:rsidRDefault="007D2814">
      <w:pPr>
        <w:spacing w:before="1" w:line="220" w:lineRule="auto"/>
        <w:ind w:left="375" w:right="45"/>
        <w:rPr>
          <w:rFonts w:cs="Arial"/>
          <w:sz w:val="18"/>
        </w:rPr>
      </w:pPr>
    </w:p>
    <w:p w14:paraId="74828823" w14:textId="77777777" w:rsidR="007D2814" w:rsidRDefault="007D2814">
      <w:pPr>
        <w:spacing w:before="1" w:line="220" w:lineRule="auto"/>
        <w:ind w:left="375" w:right="45"/>
        <w:rPr>
          <w:rFonts w:cs="Arial"/>
          <w:sz w:val="18"/>
        </w:rPr>
      </w:pPr>
    </w:p>
    <w:p w14:paraId="4EADA56B" w14:textId="77777777" w:rsidR="007D2814" w:rsidRDefault="007D2814">
      <w:pPr>
        <w:spacing w:before="1" w:line="220" w:lineRule="auto"/>
        <w:ind w:left="375" w:right="45"/>
        <w:rPr>
          <w:rFonts w:cs="Arial"/>
          <w:sz w:val="18"/>
        </w:rPr>
      </w:pPr>
    </w:p>
    <w:p w14:paraId="76AFD9B4" w14:textId="77777777" w:rsidR="007D2814" w:rsidRDefault="007D2814">
      <w:pPr>
        <w:spacing w:before="1" w:line="220" w:lineRule="auto"/>
        <w:ind w:left="375" w:right="45"/>
        <w:rPr>
          <w:rFonts w:cs="Arial"/>
          <w:sz w:val="18"/>
        </w:rPr>
      </w:pPr>
    </w:p>
    <w:p w14:paraId="533FB471" w14:textId="77777777" w:rsidR="007D2814" w:rsidRDefault="007D2814">
      <w:pPr>
        <w:spacing w:before="1" w:line="220" w:lineRule="auto"/>
        <w:ind w:left="375" w:right="45"/>
        <w:rPr>
          <w:rFonts w:cs="Arial"/>
          <w:sz w:val="18"/>
        </w:rPr>
      </w:pPr>
    </w:p>
    <w:p w14:paraId="4DFA3C2D" w14:textId="77777777" w:rsidR="007D2814" w:rsidRDefault="007D2814">
      <w:pPr>
        <w:spacing w:before="1" w:line="220" w:lineRule="auto"/>
        <w:ind w:left="375" w:right="45"/>
        <w:rPr>
          <w:rFonts w:cs="Arial"/>
          <w:sz w:val="18"/>
        </w:rPr>
      </w:pPr>
    </w:p>
    <w:p w14:paraId="13E35E1F" w14:textId="77777777" w:rsidR="007D2814" w:rsidRDefault="007D2814">
      <w:pPr>
        <w:spacing w:before="1" w:line="220" w:lineRule="auto"/>
        <w:ind w:left="375" w:right="45"/>
        <w:rPr>
          <w:rFonts w:cs="Arial"/>
          <w:sz w:val="18"/>
        </w:rPr>
      </w:pPr>
    </w:p>
    <w:p w14:paraId="149E8196" w14:textId="77777777" w:rsidR="007D2814" w:rsidRDefault="007D2814">
      <w:pPr>
        <w:spacing w:before="1" w:line="220" w:lineRule="auto"/>
        <w:ind w:left="375" w:right="45"/>
        <w:rPr>
          <w:rFonts w:cs="Arial"/>
          <w:sz w:val="18"/>
        </w:rPr>
      </w:pPr>
    </w:p>
    <w:p w14:paraId="1FDE256B" w14:textId="77777777" w:rsidR="007D2814" w:rsidRDefault="007D2814">
      <w:pPr>
        <w:spacing w:before="1" w:line="220" w:lineRule="auto"/>
        <w:ind w:left="375" w:right="45"/>
        <w:rPr>
          <w:rFonts w:cs="Arial"/>
          <w:sz w:val="18"/>
        </w:rPr>
      </w:pPr>
    </w:p>
    <w:p w14:paraId="284E501E" w14:textId="77777777" w:rsidR="007D2814" w:rsidRDefault="007D2814">
      <w:pPr>
        <w:spacing w:before="1" w:line="220" w:lineRule="auto"/>
        <w:ind w:left="375" w:right="45"/>
        <w:rPr>
          <w:rFonts w:cs="Arial"/>
          <w:sz w:val="18"/>
        </w:rPr>
      </w:pPr>
    </w:p>
    <w:p w14:paraId="5F6444FF" w14:textId="77777777" w:rsidR="007D2814" w:rsidRDefault="007D2814">
      <w:pPr>
        <w:spacing w:before="1" w:line="220" w:lineRule="auto"/>
        <w:ind w:left="375" w:right="45"/>
        <w:rPr>
          <w:rFonts w:cs="Arial"/>
          <w:sz w:val="18"/>
        </w:rPr>
      </w:pPr>
    </w:p>
    <w:p w14:paraId="24B7CA06" w14:textId="77777777" w:rsidR="007D2814" w:rsidRDefault="007D2814">
      <w:pPr>
        <w:spacing w:before="1" w:line="220" w:lineRule="auto"/>
        <w:ind w:left="375" w:right="45"/>
        <w:rPr>
          <w:rFonts w:cs="Arial"/>
          <w:sz w:val="18"/>
        </w:rPr>
      </w:pPr>
    </w:p>
    <w:p w14:paraId="39CE046C" w14:textId="77777777" w:rsidR="007D2814" w:rsidRDefault="007D2814">
      <w:pPr>
        <w:spacing w:before="1" w:line="220" w:lineRule="auto"/>
        <w:ind w:left="375" w:right="45"/>
        <w:rPr>
          <w:rFonts w:cs="Arial"/>
          <w:sz w:val="18"/>
        </w:rPr>
      </w:pPr>
    </w:p>
    <w:p w14:paraId="2F8C7E93" w14:textId="77777777" w:rsidR="007D2814" w:rsidRDefault="007D2814">
      <w:pPr>
        <w:spacing w:before="1" w:line="220" w:lineRule="auto"/>
        <w:ind w:left="375" w:right="45"/>
        <w:rPr>
          <w:rFonts w:cs="Arial"/>
          <w:sz w:val="18"/>
        </w:rPr>
      </w:pPr>
    </w:p>
    <w:p w14:paraId="3BE090FD" w14:textId="77777777" w:rsidR="007D2814" w:rsidRDefault="007D2814">
      <w:pPr>
        <w:spacing w:before="1" w:line="220" w:lineRule="auto"/>
        <w:ind w:left="375" w:right="45"/>
        <w:rPr>
          <w:rFonts w:cs="Arial"/>
          <w:sz w:val="18"/>
        </w:rPr>
      </w:pPr>
    </w:p>
    <w:p w14:paraId="31270D9B" w14:textId="77777777" w:rsidR="007D2814" w:rsidRDefault="007D2814">
      <w:pPr>
        <w:spacing w:before="1" w:line="220" w:lineRule="auto"/>
        <w:ind w:left="375" w:right="45"/>
        <w:rPr>
          <w:rFonts w:cs="Arial"/>
          <w:sz w:val="18"/>
        </w:rPr>
      </w:pPr>
    </w:p>
    <w:p w14:paraId="4241C907" w14:textId="77777777" w:rsidR="007D2814" w:rsidRDefault="007D2814">
      <w:pPr>
        <w:spacing w:before="1" w:line="220" w:lineRule="auto"/>
        <w:ind w:left="375" w:right="45"/>
        <w:rPr>
          <w:rFonts w:cs="Arial"/>
          <w:sz w:val="18"/>
        </w:rPr>
      </w:pPr>
    </w:p>
    <w:p w14:paraId="70C9E396" w14:textId="77777777" w:rsidR="007D2814" w:rsidRDefault="007D2814">
      <w:pPr>
        <w:spacing w:before="1" w:line="220" w:lineRule="auto"/>
        <w:ind w:left="375" w:right="45"/>
        <w:rPr>
          <w:rFonts w:cs="Arial"/>
          <w:sz w:val="18"/>
        </w:rPr>
      </w:pPr>
    </w:p>
    <w:p w14:paraId="0C2CEDBA" w14:textId="77777777" w:rsidR="007D2814" w:rsidRDefault="007D2814">
      <w:pPr>
        <w:spacing w:before="1" w:line="220" w:lineRule="auto"/>
        <w:ind w:left="375" w:right="45"/>
        <w:rPr>
          <w:rFonts w:cs="Arial"/>
          <w:sz w:val="18"/>
        </w:rPr>
      </w:pPr>
    </w:p>
    <w:p w14:paraId="32A8B257" w14:textId="77777777" w:rsidR="007D2814" w:rsidRDefault="007D2814">
      <w:pPr>
        <w:spacing w:before="1" w:line="220" w:lineRule="auto"/>
        <w:ind w:left="375" w:right="45"/>
        <w:rPr>
          <w:rFonts w:cs="Arial"/>
          <w:sz w:val="18"/>
        </w:rPr>
      </w:pPr>
    </w:p>
    <w:p w14:paraId="0CCE8F2C" w14:textId="77777777" w:rsidR="007D2814" w:rsidRDefault="007D2814">
      <w:pPr>
        <w:spacing w:before="1" w:line="220" w:lineRule="auto"/>
        <w:ind w:left="375" w:right="45"/>
        <w:rPr>
          <w:rFonts w:cs="Arial"/>
          <w:sz w:val="18"/>
        </w:rPr>
      </w:pPr>
    </w:p>
    <w:p w14:paraId="6B573D1C" w14:textId="77777777" w:rsidR="007D2814" w:rsidRDefault="007D2814">
      <w:pPr>
        <w:spacing w:before="1" w:line="220" w:lineRule="auto"/>
        <w:ind w:left="375" w:right="45"/>
        <w:rPr>
          <w:rFonts w:cs="Arial"/>
          <w:sz w:val="18"/>
        </w:rPr>
      </w:pPr>
    </w:p>
    <w:p w14:paraId="0CD048DF" w14:textId="77777777" w:rsidR="007D2814" w:rsidRDefault="007D2814">
      <w:pPr>
        <w:spacing w:before="1" w:line="220" w:lineRule="auto"/>
        <w:ind w:left="375" w:right="45"/>
        <w:rPr>
          <w:rFonts w:cs="Arial"/>
          <w:sz w:val="18"/>
        </w:rPr>
      </w:pPr>
    </w:p>
    <w:p w14:paraId="2D88437E" w14:textId="77777777" w:rsidR="007D2814" w:rsidRDefault="007D2814">
      <w:pPr>
        <w:spacing w:before="1" w:line="220" w:lineRule="auto"/>
        <w:ind w:left="375" w:right="45"/>
        <w:rPr>
          <w:rFonts w:cs="Arial"/>
          <w:sz w:val="18"/>
        </w:rPr>
      </w:pPr>
    </w:p>
    <w:p w14:paraId="5F920041" w14:textId="77777777" w:rsidR="007D2814" w:rsidRDefault="007D2814">
      <w:pPr>
        <w:spacing w:before="1" w:line="220" w:lineRule="auto"/>
        <w:ind w:left="375" w:right="45"/>
        <w:rPr>
          <w:rFonts w:cs="Arial"/>
          <w:sz w:val="18"/>
        </w:rPr>
      </w:pPr>
    </w:p>
    <w:p w14:paraId="7F20A263" w14:textId="77777777" w:rsidR="007D2814" w:rsidRDefault="007D2814">
      <w:pPr>
        <w:spacing w:before="1" w:line="220" w:lineRule="auto"/>
        <w:ind w:left="375" w:right="45"/>
        <w:rPr>
          <w:rFonts w:cs="Arial"/>
          <w:sz w:val="18"/>
        </w:rPr>
      </w:pPr>
    </w:p>
    <w:p w14:paraId="2202BBEF" w14:textId="77777777" w:rsidR="007D2814" w:rsidRDefault="007D2814">
      <w:pPr>
        <w:spacing w:before="1" w:line="220" w:lineRule="auto"/>
        <w:ind w:left="375" w:right="45"/>
        <w:rPr>
          <w:rFonts w:cs="Arial"/>
          <w:sz w:val="18"/>
        </w:rPr>
      </w:pPr>
    </w:p>
    <w:p w14:paraId="5DF07EFD" w14:textId="77777777" w:rsidR="007D2814" w:rsidRDefault="007D2814">
      <w:pPr>
        <w:spacing w:before="1" w:line="220" w:lineRule="auto"/>
        <w:ind w:left="375" w:right="45"/>
        <w:rPr>
          <w:rFonts w:cs="Arial"/>
          <w:sz w:val="18"/>
        </w:rPr>
      </w:pPr>
    </w:p>
    <w:p w14:paraId="6E448E78" w14:textId="77777777" w:rsidR="007D2814" w:rsidRDefault="007D2814">
      <w:pPr>
        <w:spacing w:before="1" w:line="220" w:lineRule="auto"/>
        <w:ind w:left="375" w:right="45"/>
        <w:rPr>
          <w:rFonts w:cs="Arial"/>
          <w:sz w:val="18"/>
        </w:rPr>
      </w:pPr>
    </w:p>
    <w:p w14:paraId="571A7446" w14:textId="77777777" w:rsidR="007D2814" w:rsidRDefault="007D2814">
      <w:pPr>
        <w:spacing w:before="1" w:line="220" w:lineRule="auto"/>
        <w:ind w:left="375" w:right="45"/>
        <w:rPr>
          <w:rFonts w:cs="Arial"/>
          <w:sz w:val="18"/>
        </w:rPr>
      </w:pPr>
    </w:p>
    <w:p w14:paraId="2CEB83D0" w14:textId="77777777" w:rsidR="007D2814" w:rsidRDefault="007D2814">
      <w:pPr>
        <w:spacing w:before="1" w:line="220" w:lineRule="auto"/>
        <w:ind w:left="375" w:right="45"/>
        <w:rPr>
          <w:rFonts w:cs="Arial"/>
          <w:sz w:val="18"/>
        </w:rPr>
      </w:pPr>
    </w:p>
    <w:p w14:paraId="622C88FE" w14:textId="77777777" w:rsidR="007D2814" w:rsidRDefault="007D2814">
      <w:pPr>
        <w:spacing w:before="1" w:line="220" w:lineRule="auto"/>
        <w:ind w:left="375" w:right="45"/>
        <w:rPr>
          <w:rFonts w:cs="Arial"/>
          <w:sz w:val="18"/>
        </w:rPr>
      </w:pPr>
    </w:p>
    <w:p w14:paraId="61906E95" w14:textId="77777777" w:rsidR="007D2814" w:rsidRDefault="007D2814">
      <w:pPr>
        <w:spacing w:before="1" w:line="220" w:lineRule="auto"/>
        <w:ind w:left="375" w:right="45"/>
        <w:rPr>
          <w:rFonts w:cs="Arial"/>
          <w:sz w:val="18"/>
        </w:rPr>
      </w:pPr>
    </w:p>
    <w:p w14:paraId="7CEF430F" w14:textId="77777777" w:rsidR="007D2814" w:rsidRDefault="007D2814">
      <w:pPr>
        <w:spacing w:before="1" w:line="220" w:lineRule="auto"/>
        <w:ind w:left="375" w:right="45"/>
        <w:rPr>
          <w:rFonts w:cs="Arial"/>
          <w:sz w:val="18"/>
        </w:rPr>
      </w:pPr>
    </w:p>
    <w:p w14:paraId="01EC9D19" w14:textId="77777777" w:rsidR="007D2814" w:rsidRDefault="007D2814">
      <w:pPr>
        <w:spacing w:before="1" w:line="220" w:lineRule="auto"/>
        <w:ind w:left="375" w:right="45"/>
        <w:rPr>
          <w:rFonts w:cs="Arial"/>
          <w:sz w:val="18"/>
        </w:rPr>
      </w:pPr>
    </w:p>
    <w:p w14:paraId="6D538B4A" w14:textId="77777777" w:rsidR="007D2814" w:rsidRDefault="007D2814">
      <w:pPr>
        <w:spacing w:before="1" w:line="220" w:lineRule="auto"/>
        <w:ind w:left="375" w:right="45"/>
        <w:rPr>
          <w:rFonts w:cs="Arial"/>
          <w:sz w:val="18"/>
        </w:rPr>
      </w:pPr>
    </w:p>
    <w:p w14:paraId="39139377" w14:textId="77777777" w:rsidR="007D2814" w:rsidRDefault="007D2814">
      <w:pPr>
        <w:spacing w:before="1" w:line="220" w:lineRule="auto"/>
        <w:ind w:left="375" w:right="45"/>
        <w:rPr>
          <w:rFonts w:cs="Arial"/>
          <w:sz w:val="18"/>
        </w:rPr>
      </w:pPr>
    </w:p>
    <w:p w14:paraId="3F0D1745" w14:textId="77777777" w:rsidR="007D2814" w:rsidRDefault="007D2814">
      <w:pPr>
        <w:spacing w:before="1" w:line="220" w:lineRule="auto"/>
        <w:ind w:left="375" w:right="45"/>
        <w:rPr>
          <w:rFonts w:cs="Arial"/>
          <w:sz w:val="18"/>
        </w:rPr>
      </w:pPr>
    </w:p>
    <w:p w14:paraId="74428024" w14:textId="77777777" w:rsidR="007D2814" w:rsidRDefault="007D2814">
      <w:pPr>
        <w:spacing w:before="1" w:line="220" w:lineRule="auto"/>
        <w:ind w:left="375" w:right="45"/>
        <w:rPr>
          <w:rFonts w:cs="Arial"/>
          <w:sz w:val="18"/>
        </w:rPr>
      </w:pPr>
    </w:p>
    <w:p w14:paraId="363AC942" w14:textId="77777777" w:rsidR="007D2814" w:rsidRDefault="007D2814">
      <w:pPr>
        <w:spacing w:before="1" w:line="220" w:lineRule="auto"/>
        <w:ind w:left="375" w:right="45"/>
        <w:rPr>
          <w:rFonts w:cs="Arial"/>
          <w:sz w:val="18"/>
        </w:rPr>
      </w:pPr>
    </w:p>
    <w:p w14:paraId="0847BD46" w14:textId="77777777" w:rsidR="007D2814" w:rsidRDefault="007D2814">
      <w:pPr>
        <w:spacing w:before="1" w:line="220" w:lineRule="auto"/>
        <w:ind w:left="375" w:right="45"/>
        <w:rPr>
          <w:rFonts w:cs="Arial"/>
          <w:sz w:val="18"/>
        </w:rPr>
      </w:pPr>
    </w:p>
    <w:p w14:paraId="4334E72B" w14:textId="77777777" w:rsidR="007D2814" w:rsidRDefault="007D2814">
      <w:pPr>
        <w:spacing w:before="1" w:line="220" w:lineRule="auto"/>
        <w:ind w:left="375" w:right="45"/>
        <w:rPr>
          <w:rFonts w:cs="Arial"/>
          <w:sz w:val="18"/>
        </w:rPr>
      </w:pPr>
    </w:p>
    <w:p w14:paraId="5F953410" w14:textId="77777777" w:rsidR="007D2814" w:rsidRDefault="007D2814">
      <w:pPr>
        <w:spacing w:before="1" w:line="220" w:lineRule="auto"/>
        <w:ind w:left="375" w:right="45"/>
        <w:rPr>
          <w:rFonts w:cs="Arial"/>
          <w:sz w:val="18"/>
        </w:rPr>
      </w:pPr>
    </w:p>
    <w:p w14:paraId="79FB22AD" w14:textId="77777777" w:rsidR="007D2814" w:rsidRDefault="007D2814">
      <w:pPr>
        <w:spacing w:before="1" w:line="220" w:lineRule="auto"/>
        <w:ind w:left="375" w:right="45"/>
        <w:rPr>
          <w:rFonts w:cs="Arial"/>
          <w:sz w:val="18"/>
        </w:rPr>
      </w:pPr>
    </w:p>
    <w:p w14:paraId="326E3106" w14:textId="77777777" w:rsidR="007D2814" w:rsidRDefault="007D2814">
      <w:pPr>
        <w:spacing w:before="1" w:line="220" w:lineRule="auto"/>
        <w:ind w:left="375" w:right="45"/>
        <w:rPr>
          <w:rFonts w:cs="Arial"/>
          <w:sz w:val="18"/>
        </w:rPr>
      </w:pPr>
    </w:p>
    <w:p w14:paraId="485B757E" w14:textId="77777777" w:rsidR="007D2814" w:rsidRDefault="007D2814">
      <w:pPr>
        <w:spacing w:before="1" w:line="220" w:lineRule="auto"/>
        <w:ind w:left="375" w:right="45"/>
        <w:rPr>
          <w:rFonts w:cs="Arial"/>
          <w:sz w:val="18"/>
        </w:rPr>
      </w:pPr>
    </w:p>
    <w:p w14:paraId="77B73318" w14:textId="77777777" w:rsidR="007D2814" w:rsidRDefault="007D2814">
      <w:pPr>
        <w:spacing w:before="1" w:line="220" w:lineRule="auto"/>
        <w:ind w:left="375" w:right="45"/>
        <w:rPr>
          <w:rFonts w:cs="Arial"/>
          <w:sz w:val="18"/>
        </w:rPr>
      </w:pPr>
    </w:p>
    <w:p w14:paraId="4A301522" w14:textId="77777777" w:rsidR="007D2814" w:rsidRDefault="007D2814">
      <w:pPr>
        <w:spacing w:before="1" w:line="220" w:lineRule="auto"/>
        <w:ind w:left="375" w:right="45"/>
        <w:rPr>
          <w:rFonts w:cs="Arial"/>
          <w:sz w:val="18"/>
        </w:rPr>
      </w:pPr>
    </w:p>
    <w:p w14:paraId="31A7851B" w14:textId="77777777" w:rsidR="007D2814" w:rsidRDefault="007D2814">
      <w:pPr>
        <w:spacing w:before="1" w:line="220" w:lineRule="auto"/>
        <w:ind w:left="375" w:right="45"/>
        <w:rPr>
          <w:rFonts w:cs="Arial"/>
          <w:sz w:val="18"/>
        </w:rPr>
      </w:pPr>
    </w:p>
    <w:p w14:paraId="02AA28CA" w14:textId="77777777" w:rsidR="007D2814" w:rsidRDefault="007D2814">
      <w:pPr>
        <w:spacing w:before="1" w:line="220" w:lineRule="auto"/>
        <w:ind w:left="375" w:right="45"/>
        <w:rPr>
          <w:rFonts w:cs="Arial"/>
          <w:sz w:val="18"/>
        </w:rPr>
      </w:pPr>
    </w:p>
    <w:p w14:paraId="54EB87E7" w14:textId="77777777" w:rsidR="007D2814" w:rsidRDefault="007D2814">
      <w:pPr>
        <w:spacing w:before="1" w:line="220" w:lineRule="auto"/>
        <w:ind w:left="375" w:right="45"/>
        <w:rPr>
          <w:rFonts w:cs="Arial"/>
          <w:sz w:val="18"/>
        </w:rPr>
      </w:pPr>
    </w:p>
    <w:p w14:paraId="6AC97D70" w14:textId="77777777" w:rsidR="007D2814" w:rsidRDefault="007D2814">
      <w:pPr>
        <w:spacing w:before="1" w:line="220" w:lineRule="auto"/>
        <w:ind w:left="375" w:right="45"/>
        <w:rPr>
          <w:rFonts w:cs="Arial"/>
          <w:sz w:val="18"/>
        </w:rPr>
      </w:pPr>
    </w:p>
    <w:p w14:paraId="4EDE1E55" w14:textId="77777777" w:rsidR="007D2814" w:rsidRDefault="007D2814">
      <w:pPr>
        <w:spacing w:before="1" w:line="220" w:lineRule="auto"/>
        <w:ind w:left="375" w:right="45"/>
        <w:rPr>
          <w:rFonts w:cs="Arial"/>
          <w:sz w:val="18"/>
        </w:rPr>
      </w:pPr>
    </w:p>
    <w:p w14:paraId="3A3E8B68" w14:textId="77777777" w:rsidR="007D2814" w:rsidRDefault="007D2814">
      <w:pPr>
        <w:spacing w:before="1" w:line="220" w:lineRule="auto"/>
        <w:ind w:left="375" w:right="45"/>
        <w:rPr>
          <w:rFonts w:cs="Arial"/>
          <w:sz w:val="18"/>
        </w:rPr>
      </w:pPr>
    </w:p>
    <w:p w14:paraId="0C76D72C" w14:textId="77777777" w:rsidR="007D2814" w:rsidRDefault="007D2814">
      <w:pPr>
        <w:spacing w:before="1" w:line="220" w:lineRule="auto"/>
        <w:ind w:left="375" w:right="45"/>
        <w:rPr>
          <w:rFonts w:cs="Arial"/>
          <w:sz w:val="18"/>
        </w:rPr>
      </w:pPr>
    </w:p>
    <w:p w14:paraId="462963EA" w14:textId="77777777" w:rsidR="007D2814" w:rsidRDefault="007D2814">
      <w:pPr>
        <w:spacing w:before="1" w:line="220" w:lineRule="auto"/>
        <w:ind w:left="375" w:right="45"/>
        <w:rPr>
          <w:rFonts w:cs="Arial"/>
          <w:sz w:val="18"/>
        </w:rPr>
      </w:pPr>
    </w:p>
    <w:p w14:paraId="3CEAD2F0" w14:textId="77777777" w:rsidR="007D2814" w:rsidRDefault="007D2814">
      <w:pPr>
        <w:spacing w:before="1" w:line="220" w:lineRule="auto"/>
        <w:ind w:left="375" w:right="45"/>
        <w:rPr>
          <w:rFonts w:cs="Arial"/>
          <w:sz w:val="18"/>
        </w:rPr>
      </w:pPr>
    </w:p>
    <w:p w14:paraId="17AB0D3E" w14:textId="77777777" w:rsidR="007D2814" w:rsidRDefault="007D2814">
      <w:pPr>
        <w:spacing w:before="1" w:line="220" w:lineRule="auto"/>
        <w:ind w:left="375" w:right="45"/>
        <w:rPr>
          <w:rFonts w:cs="Arial"/>
          <w:sz w:val="18"/>
        </w:rPr>
      </w:pPr>
    </w:p>
    <w:p w14:paraId="1827C503" w14:textId="77777777" w:rsidR="007D2814" w:rsidRDefault="007D2814">
      <w:pPr>
        <w:spacing w:before="1" w:line="220" w:lineRule="auto"/>
        <w:ind w:left="375" w:right="45"/>
        <w:rPr>
          <w:rFonts w:cs="Arial"/>
          <w:sz w:val="18"/>
        </w:rPr>
      </w:pPr>
    </w:p>
    <w:p w14:paraId="48BDD47D" w14:textId="77777777" w:rsidR="007D2814" w:rsidRDefault="007D2814">
      <w:pPr>
        <w:spacing w:before="1" w:line="220" w:lineRule="auto"/>
        <w:ind w:left="375" w:right="45"/>
        <w:rPr>
          <w:rFonts w:cs="Arial"/>
          <w:sz w:val="18"/>
        </w:rPr>
      </w:pPr>
    </w:p>
    <w:p w14:paraId="358D956E" w14:textId="77777777" w:rsidR="007D2814" w:rsidRDefault="007D2814">
      <w:pPr>
        <w:spacing w:before="1" w:line="220" w:lineRule="auto"/>
        <w:ind w:left="375" w:right="45"/>
        <w:rPr>
          <w:rFonts w:cs="Arial"/>
          <w:sz w:val="18"/>
        </w:rPr>
      </w:pPr>
    </w:p>
    <w:p w14:paraId="13AA6485" w14:textId="77777777" w:rsidR="007D2814" w:rsidRDefault="007D2814">
      <w:pPr>
        <w:spacing w:before="1" w:line="220" w:lineRule="auto"/>
        <w:ind w:left="375" w:right="45"/>
        <w:rPr>
          <w:rFonts w:cs="Arial"/>
          <w:sz w:val="18"/>
        </w:rPr>
      </w:pPr>
    </w:p>
    <w:p w14:paraId="0ADF07B4" w14:textId="77777777" w:rsidR="007D2814" w:rsidRDefault="007D2814">
      <w:pPr>
        <w:spacing w:before="1" w:line="220" w:lineRule="auto"/>
        <w:ind w:left="375" w:right="45"/>
        <w:rPr>
          <w:rFonts w:cs="Arial"/>
          <w:sz w:val="18"/>
        </w:rPr>
      </w:pPr>
    </w:p>
    <w:p w14:paraId="29373F83" w14:textId="77777777" w:rsidR="007D2814" w:rsidRDefault="007D2814">
      <w:pPr>
        <w:spacing w:before="1" w:line="220" w:lineRule="auto"/>
        <w:ind w:left="375" w:right="45"/>
        <w:rPr>
          <w:rFonts w:cs="Arial"/>
          <w:sz w:val="18"/>
        </w:rPr>
      </w:pPr>
    </w:p>
    <w:p w14:paraId="478C4421" w14:textId="77777777" w:rsidR="007D2814" w:rsidRDefault="007D2814">
      <w:pPr>
        <w:spacing w:before="1" w:line="220" w:lineRule="auto"/>
        <w:ind w:left="375" w:right="45"/>
        <w:rPr>
          <w:rFonts w:cs="Arial"/>
          <w:sz w:val="18"/>
        </w:rPr>
      </w:pPr>
    </w:p>
    <w:p w14:paraId="6B1E8106" w14:textId="77777777" w:rsidR="007D2814" w:rsidRDefault="007D2814">
      <w:pPr>
        <w:spacing w:before="1" w:line="220" w:lineRule="auto"/>
        <w:ind w:left="375" w:right="45"/>
        <w:rPr>
          <w:rFonts w:cs="Arial"/>
          <w:sz w:val="18"/>
        </w:rPr>
      </w:pPr>
    </w:p>
    <w:p w14:paraId="0C48B79F" w14:textId="77777777" w:rsidR="007D2814" w:rsidRDefault="007D2814">
      <w:pPr>
        <w:spacing w:before="1" w:line="220" w:lineRule="auto"/>
        <w:ind w:left="375" w:right="45"/>
        <w:rPr>
          <w:rFonts w:cs="Arial"/>
          <w:sz w:val="18"/>
        </w:rPr>
      </w:pPr>
    </w:p>
    <w:p w14:paraId="5CB90CBA" w14:textId="77777777" w:rsidR="007D2814" w:rsidRDefault="007D2814">
      <w:pPr>
        <w:spacing w:before="1" w:line="220" w:lineRule="auto"/>
        <w:ind w:left="375" w:right="45"/>
        <w:rPr>
          <w:rFonts w:cs="Arial"/>
          <w:sz w:val="18"/>
        </w:rPr>
      </w:pPr>
    </w:p>
    <w:p w14:paraId="422A1DBA" w14:textId="77777777" w:rsidR="007D2814" w:rsidRDefault="007D2814">
      <w:pPr>
        <w:spacing w:before="1" w:line="220" w:lineRule="auto"/>
        <w:ind w:left="375" w:right="45"/>
        <w:rPr>
          <w:rFonts w:cs="Arial"/>
          <w:sz w:val="18"/>
        </w:rPr>
      </w:pPr>
    </w:p>
    <w:p w14:paraId="64C34076" w14:textId="77777777" w:rsidR="007D2814" w:rsidRDefault="007D2814">
      <w:pPr>
        <w:spacing w:before="1" w:line="220" w:lineRule="auto"/>
        <w:ind w:left="375" w:right="45"/>
        <w:rPr>
          <w:rFonts w:cs="Arial"/>
          <w:sz w:val="18"/>
        </w:rPr>
      </w:pPr>
    </w:p>
    <w:p w14:paraId="318CCB2E" w14:textId="77777777" w:rsidR="007D2814" w:rsidRDefault="007D2814">
      <w:pPr>
        <w:spacing w:before="1" w:line="220" w:lineRule="auto"/>
        <w:ind w:left="375" w:right="45"/>
        <w:rPr>
          <w:rFonts w:cs="Arial"/>
          <w:sz w:val="18"/>
        </w:rPr>
      </w:pPr>
    </w:p>
    <w:p w14:paraId="015B752A" w14:textId="77777777" w:rsidR="007D2814" w:rsidRDefault="007D2814">
      <w:pPr>
        <w:spacing w:before="1" w:line="220" w:lineRule="auto"/>
        <w:ind w:left="375" w:right="45"/>
        <w:rPr>
          <w:rFonts w:cs="Arial"/>
          <w:sz w:val="18"/>
        </w:rPr>
      </w:pPr>
    </w:p>
    <w:p w14:paraId="2CAA6A61" w14:textId="77777777" w:rsidR="007D2814" w:rsidRDefault="007D2814">
      <w:pPr>
        <w:spacing w:before="1" w:line="220" w:lineRule="auto"/>
        <w:ind w:left="375" w:right="45"/>
        <w:rPr>
          <w:rFonts w:cs="Arial"/>
          <w:sz w:val="18"/>
        </w:rPr>
      </w:pPr>
    </w:p>
    <w:p w14:paraId="20BFE5D4" w14:textId="77777777" w:rsidR="007D2814" w:rsidRDefault="007D2814">
      <w:pPr>
        <w:spacing w:before="1" w:line="220" w:lineRule="auto"/>
        <w:ind w:left="375" w:right="45"/>
        <w:rPr>
          <w:rFonts w:cs="Arial"/>
          <w:sz w:val="18"/>
        </w:rPr>
      </w:pPr>
    </w:p>
    <w:p w14:paraId="7CE0CC24" w14:textId="77777777" w:rsidR="007D2814" w:rsidRDefault="007D2814">
      <w:pPr>
        <w:spacing w:before="1" w:line="220" w:lineRule="auto"/>
        <w:ind w:left="375" w:right="45"/>
        <w:rPr>
          <w:rFonts w:cs="Arial"/>
          <w:sz w:val="18"/>
        </w:rPr>
      </w:pPr>
    </w:p>
    <w:p w14:paraId="57048CA2" w14:textId="77777777" w:rsidR="007D2814" w:rsidRDefault="007D2814">
      <w:pPr>
        <w:spacing w:before="1" w:line="220" w:lineRule="auto"/>
        <w:ind w:left="375" w:right="45"/>
        <w:rPr>
          <w:rFonts w:cs="Arial"/>
          <w:sz w:val="18"/>
        </w:rPr>
      </w:pPr>
    </w:p>
    <w:p w14:paraId="6493F559" w14:textId="77777777" w:rsidR="007D2814" w:rsidRDefault="007D2814">
      <w:pPr>
        <w:spacing w:before="1" w:line="220" w:lineRule="auto"/>
        <w:ind w:left="375" w:right="45"/>
        <w:rPr>
          <w:rFonts w:cs="Arial"/>
          <w:sz w:val="18"/>
        </w:rPr>
      </w:pPr>
    </w:p>
    <w:p w14:paraId="1B3830A6" w14:textId="77777777" w:rsidR="007D2814" w:rsidRDefault="007D2814">
      <w:pPr>
        <w:spacing w:before="1" w:line="220" w:lineRule="auto"/>
        <w:ind w:left="375" w:right="45"/>
        <w:rPr>
          <w:rFonts w:cs="Arial"/>
          <w:sz w:val="18"/>
        </w:rPr>
      </w:pPr>
    </w:p>
    <w:p w14:paraId="55AF178F" w14:textId="77777777" w:rsidR="007D2814" w:rsidRDefault="007D2814">
      <w:pPr>
        <w:spacing w:before="1" w:line="220" w:lineRule="auto"/>
        <w:ind w:left="375" w:right="45"/>
        <w:rPr>
          <w:rFonts w:cs="Arial"/>
          <w:sz w:val="18"/>
        </w:rPr>
      </w:pPr>
    </w:p>
    <w:p w14:paraId="3927BF30" w14:textId="77777777" w:rsidR="007D2814" w:rsidRDefault="007D2814">
      <w:pPr>
        <w:spacing w:before="1" w:line="220" w:lineRule="auto"/>
        <w:ind w:left="375" w:right="45"/>
        <w:rPr>
          <w:rFonts w:cs="Arial"/>
          <w:sz w:val="18"/>
        </w:rPr>
      </w:pPr>
    </w:p>
    <w:p w14:paraId="44DE600A" w14:textId="77777777" w:rsidR="007D2814" w:rsidRDefault="007D2814">
      <w:pPr>
        <w:spacing w:before="1" w:line="220" w:lineRule="auto"/>
        <w:ind w:left="375" w:right="45"/>
        <w:rPr>
          <w:rFonts w:cs="Arial"/>
          <w:sz w:val="18"/>
        </w:rPr>
      </w:pPr>
    </w:p>
    <w:p w14:paraId="2217440A" w14:textId="77777777" w:rsidR="007D2814" w:rsidRDefault="007D2814">
      <w:pPr>
        <w:spacing w:before="1" w:line="220" w:lineRule="auto"/>
        <w:ind w:left="375" w:right="45"/>
        <w:rPr>
          <w:rFonts w:cs="Arial"/>
          <w:sz w:val="18"/>
        </w:rPr>
      </w:pPr>
    </w:p>
    <w:p w14:paraId="7199F664" w14:textId="77777777" w:rsidR="007D2814" w:rsidRDefault="007D2814">
      <w:pPr>
        <w:spacing w:before="1" w:line="220" w:lineRule="auto"/>
        <w:ind w:left="375" w:right="45"/>
        <w:rPr>
          <w:rFonts w:cs="Arial"/>
          <w:sz w:val="18"/>
        </w:rPr>
      </w:pPr>
    </w:p>
    <w:p w14:paraId="3A8E5476" w14:textId="77777777" w:rsidR="007D2814" w:rsidRDefault="007D2814">
      <w:pPr>
        <w:spacing w:before="1" w:line="220" w:lineRule="auto"/>
        <w:ind w:left="375" w:right="45"/>
        <w:rPr>
          <w:rFonts w:cs="Arial"/>
          <w:sz w:val="18"/>
        </w:rPr>
      </w:pPr>
    </w:p>
    <w:p w14:paraId="014B0FB5" w14:textId="77777777" w:rsidR="007D2814" w:rsidRDefault="007D2814">
      <w:pPr>
        <w:spacing w:before="1" w:line="220" w:lineRule="auto"/>
        <w:ind w:left="375" w:right="45"/>
        <w:rPr>
          <w:rFonts w:cs="Arial"/>
          <w:sz w:val="18"/>
        </w:rPr>
      </w:pPr>
    </w:p>
    <w:p w14:paraId="37A64841" w14:textId="77777777" w:rsidR="007D2814" w:rsidRDefault="007D2814">
      <w:pPr>
        <w:spacing w:before="1" w:line="220" w:lineRule="auto"/>
        <w:ind w:left="375" w:right="45"/>
        <w:rPr>
          <w:rFonts w:cs="Arial"/>
          <w:sz w:val="18"/>
        </w:rPr>
      </w:pPr>
    </w:p>
    <w:p w14:paraId="012EB39E" w14:textId="77777777" w:rsidR="007D2814" w:rsidRDefault="007D2814">
      <w:pPr>
        <w:spacing w:before="1" w:line="220" w:lineRule="auto"/>
        <w:ind w:left="375" w:right="45"/>
        <w:rPr>
          <w:rFonts w:cs="Arial"/>
          <w:sz w:val="18"/>
        </w:rPr>
      </w:pPr>
    </w:p>
    <w:p w14:paraId="77AD76B5" w14:textId="77777777" w:rsidR="007D2814" w:rsidRDefault="007D2814">
      <w:pPr>
        <w:spacing w:before="1" w:line="220" w:lineRule="auto"/>
        <w:ind w:left="375" w:right="45"/>
        <w:rPr>
          <w:rFonts w:cs="Arial"/>
          <w:sz w:val="18"/>
        </w:rPr>
      </w:pPr>
    </w:p>
    <w:p w14:paraId="54AFF471" w14:textId="77777777" w:rsidR="007D2814" w:rsidRDefault="007D2814">
      <w:pPr>
        <w:spacing w:before="1" w:line="220" w:lineRule="auto"/>
        <w:ind w:left="375" w:right="45"/>
        <w:rPr>
          <w:rFonts w:cs="Arial"/>
          <w:sz w:val="18"/>
        </w:rPr>
      </w:pPr>
    </w:p>
    <w:p w14:paraId="7D416DA3" w14:textId="77777777" w:rsidR="007D2814" w:rsidRDefault="007D2814">
      <w:pPr>
        <w:spacing w:before="1" w:line="220" w:lineRule="auto"/>
        <w:ind w:left="375" w:right="45"/>
        <w:rPr>
          <w:rFonts w:cs="Arial"/>
          <w:sz w:val="18"/>
        </w:rPr>
      </w:pPr>
    </w:p>
    <w:p w14:paraId="5217F735" w14:textId="77777777" w:rsidR="007D2814" w:rsidRDefault="007D2814">
      <w:pPr>
        <w:spacing w:before="1" w:line="220" w:lineRule="auto"/>
        <w:ind w:left="375" w:right="45"/>
        <w:rPr>
          <w:rFonts w:cs="Arial"/>
          <w:sz w:val="18"/>
        </w:rPr>
      </w:pPr>
    </w:p>
    <w:p w14:paraId="7C7382CB" w14:textId="77777777" w:rsidR="007D2814" w:rsidRDefault="007D2814">
      <w:pPr>
        <w:spacing w:before="1" w:line="220" w:lineRule="auto"/>
        <w:ind w:left="375" w:right="45"/>
        <w:rPr>
          <w:rFonts w:cs="Arial"/>
          <w:sz w:val="18"/>
        </w:rPr>
      </w:pPr>
    </w:p>
    <w:p w14:paraId="766D9E14" w14:textId="77777777" w:rsidR="007D2814" w:rsidRDefault="007D2814">
      <w:pPr>
        <w:spacing w:before="1" w:line="220" w:lineRule="auto"/>
        <w:ind w:left="375" w:right="45"/>
        <w:rPr>
          <w:rFonts w:cs="Arial"/>
          <w:sz w:val="18"/>
        </w:rPr>
      </w:pPr>
    </w:p>
    <w:p w14:paraId="66565AAD" w14:textId="77777777" w:rsidR="007D2814" w:rsidRDefault="007D2814">
      <w:pPr>
        <w:spacing w:before="1" w:line="220" w:lineRule="auto"/>
        <w:ind w:left="375" w:right="45"/>
        <w:rPr>
          <w:rFonts w:cs="Arial"/>
          <w:sz w:val="18"/>
        </w:rPr>
      </w:pPr>
    </w:p>
    <w:p w14:paraId="19E190F7" w14:textId="77777777" w:rsidR="007D2814" w:rsidRDefault="007D2814">
      <w:pPr>
        <w:spacing w:before="1" w:line="220" w:lineRule="auto"/>
        <w:ind w:left="375" w:right="45"/>
        <w:rPr>
          <w:rFonts w:cs="Arial"/>
          <w:sz w:val="18"/>
        </w:rPr>
      </w:pPr>
    </w:p>
    <w:p w14:paraId="7D831FB4" w14:textId="77777777" w:rsidR="007D2814" w:rsidRDefault="007D2814">
      <w:pPr>
        <w:spacing w:before="1" w:line="220" w:lineRule="auto"/>
        <w:ind w:left="375" w:right="45"/>
        <w:rPr>
          <w:rFonts w:cs="Arial"/>
          <w:sz w:val="18"/>
        </w:rPr>
      </w:pPr>
    </w:p>
    <w:p w14:paraId="2A6443A3" w14:textId="77777777" w:rsidR="007D2814" w:rsidRDefault="007D2814">
      <w:pPr>
        <w:spacing w:before="1" w:line="220" w:lineRule="auto"/>
        <w:ind w:left="375" w:right="45"/>
        <w:rPr>
          <w:rFonts w:cs="Arial"/>
          <w:sz w:val="18"/>
        </w:rPr>
      </w:pPr>
    </w:p>
    <w:p w14:paraId="638398CF" w14:textId="77777777" w:rsidR="007D2814" w:rsidRDefault="007D2814">
      <w:pPr>
        <w:spacing w:before="1" w:line="220" w:lineRule="auto"/>
        <w:ind w:left="375" w:right="45"/>
        <w:rPr>
          <w:rFonts w:cs="Arial"/>
          <w:sz w:val="18"/>
        </w:rPr>
      </w:pPr>
    </w:p>
    <w:p w14:paraId="4A8A19CF" w14:textId="77777777" w:rsidR="007D2814" w:rsidRDefault="007D2814">
      <w:pPr>
        <w:spacing w:before="1" w:line="220" w:lineRule="auto"/>
        <w:ind w:left="375" w:right="45"/>
        <w:rPr>
          <w:rFonts w:cs="Arial"/>
          <w:sz w:val="18"/>
        </w:rPr>
      </w:pPr>
    </w:p>
    <w:p w14:paraId="2F0D0785" w14:textId="77777777" w:rsidR="007D2814" w:rsidRDefault="007D2814">
      <w:pPr>
        <w:spacing w:before="1" w:line="220" w:lineRule="auto"/>
        <w:ind w:left="375" w:right="45"/>
        <w:rPr>
          <w:rFonts w:cs="Arial"/>
          <w:sz w:val="18"/>
        </w:rPr>
      </w:pPr>
    </w:p>
    <w:p w14:paraId="21E653AF" w14:textId="77777777" w:rsidR="007D2814" w:rsidRDefault="007D2814">
      <w:pPr>
        <w:spacing w:before="1" w:line="220" w:lineRule="auto"/>
        <w:ind w:left="375" w:right="45"/>
        <w:rPr>
          <w:rFonts w:cs="Arial"/>
          <w:sz w:val="18"/>
        </w:rPr>
      </w:pPr>
    </w:p>
    <w:p w14:paraId="1C25164D" w14:textId="77777777" w:rsidR="007D2814" w:rsidRDefault="007D2814">
      <w:pPr>
        <w:spacing w:before="1" w:line="220" w:lineRule="auto"/>
        <w:ind w:left="375" w:right="45"/>
        <w:rPr>
          <w:rFonts w:cs="Arial"/>
          <w:sz w:val="18"/>
        </w:rPr>
      </w:pPr>
    </w:p>
    <w:p w14:paraId="55D54484" w14:textId="77777777" w:rsidR="007D2814" w:rsidRDefault="007D2814">
      <w:pPr>
        <w:spacing w:before="1" w:line="220" w:lineRule="auto"/>
        <w:ind w:left="375" w:right="45"/>
        <w:rPr>
          <w:rFonts w:cs="Arial"/>
          <w:sz w:val="18"/>
        </w:rPr>
      </w:pPr>
    </w:p>
    <w:p w14:paraId="71B24CCC" w14:textId="77777777" w:rsidR="007D2814" w:rsidRDefault="007D2814">
      <w:pPr>
        <w:spacing w:before="1" w:line="220" w:lineRule="auto"/>
        <w:ind w:left="375" w:right="45"/>
        <w:rPr>
          <w:rFonts w:cs="Arial"/>
          <w:sz w:val="18"/>
        </w:rPr>
      </w:pPr>
    </w:p>
    <w:p w14:paraId="60392DEF" w14:textId="77777777" w:rsidR="007D2814" w:rsidRDefault="007D2814">
      <w:pPr>
        <w:spacing w:before="1" w:line="220" w:lineRule="auto"/>
        <w:ind w:left="375" w:right="45"/>
        <w:rPr>
          <w:rFonts w:cs="Arial"/>
          <w:sz w:val="18"/>
        </w:rPr>
      </w:pPr>
    </w:p>
    <w:p w14:paraId="0CA42589" w14:textId="77777777" w:rsidR="007D2814" w:rsidRDefault="007D2814">
      <w:pPr>
        <w:spacing w:before="1" w:line="220" w:lineRule="auto"/>
        <w:ind w:left="375" w:right="45"/>
        <w:rPr>
          <w:rFonts w:cs="Arial"/>
          <w:sz w:val="18"/>
        </w:rPr>
      </w:pPr>
    </w:p>
    <w:p w14:paraId="1040A7FA" w14:textId="77777777" w:rsidR="007D2814" w:rsidRDefault="007D2814">
      <w:pPr>
        <w:spacing w:before="1" w:line="220" w:lineRule="auto"/>
        <w:ind w:left="375" w:right="45"/>
        <w:rPr>
          <w:rFonts w:cs="Arial"/>
          <w:sz w:val="18"/>
        </w:rPr>
      </w:pPr>
    </w:p>
    <w:p w14:paraId="1B78E5EF" w14:textId="77777777" w:rsidR="007D2814" w:rsidRDefault="007D2814">
      <w:pPr>
        <w:spacing w:before="1" w:line="220" w:lineRule="auto"/>
        <w:ind w:left="375" w:right="45"/>
        <w:rPr>
          <w:rFonts w:cs="Arial"/>
          <w:sz w:val="18"/>
        </w:rPr>
      </w:pPr>
    </w:p>
    <w:p w14:paraId="0819B993" w14:textId="77777777" w:rsidR="007D2814" w:rsidRDefault="007D2814">
      <w:pPr>
        <w:spacing w:before="1" w:line="220" w:lineRule="auto"/>
        <w:ind w:left="375" w:right="45"/>
        <w:rPr>
          <w:rFonts w:cs="Arial"/>
          <w:sz w:val="18"/>
        </w:rPr>
      </w:pPr>
    </w:p>
    <w:p w14:paraId="5DF0F545" w14:textId="77777777" w:rsidR="007D2814" w:rsidRDefault="007D2814">
      <w:pPr>
        <w:spacing w:before="1" w:line="220" w:lineRule="auto"/>
        <w:ind w:left="375" w:right="45"/>
        <w:rPr>
          <w:rFonts w:cs="Arial"/>
          <w:sz w:val="18"/>
        </w:rPr>
      </w:pPr>
    </w:p>
    <w:p w14:paraId="7FFE5318" w14:textId="77777777" w:rsidR="007D2814" w:rsidRDefault="007D2814">
      <w:pPr>
        <w:spacing w:before="1" w:line="220" w:lineRule="auto"/>
        <w:ind w:left="375" w:right="45"/>
        <w:rPr>
          <w:rFonts w:cs="Arial"/>
          <w:sz w:val="18"/>
        </w:rPr>
      </w:pPr>
    </w:p>
    <w:p w14:paraId="5AC6C9A9" w14:textId="77777777" w:rsidR="007D2814" w:rsidRDefault="007D2814">
      <w:pPr>
        <w:spacing w:before="1" w:line="220" w:lineRule="auto"/>
        <w:ind w:left="375" w:right="45"/>
        <w:rPr>
          <w:rFonts w:cs="Arial"/>
          <w:sz w:val="18"/>
        </w:rPr>
      </w:pPr>
    </w:p>
    <w:p w14:paraId="173341AC" w14:textId="77777777" w:rsidR="007D2814" w:rsidRDefault="007D2814">
      <w:pPr>
        <w:spacing w:before="1" w:line="220" w:lineRule="auto"/>
        <w:ind w:left="375" w:right="45"/>
        <w:rPr>
          <w:rFonts w:cs="Arial"/>
          <w:sz w:val="18"/>
        </w:rPr>
      </w:pPr>
    </w:p>
    <w:p w14:paraId="246B1ED4" w14:textId="77777777" w:rsidR="007D2814" w:rsidRDefault="007D2814">
      <w:pPr>
        <w:spacing w:before="1" w:line="220" w:lineRule="auto"/>
        <w:ind w:left="375" w:right="45"/>
        <w:rPr>
          <w:rFonts w:cs="Arial"/>
          <w:sz w:val="18"/>
        </w:rPr>
      </w:pPr>
    </w:p>
    <w:p w14:paraId="3C8A7F76" w14:textId="77777777" w:rsidR="007D2814" w:rsidRDefault="007D2814">
      <w:pPr>
        <w:spacing w:before="1" w:line="220" w:lineRule="auto"/>
        <w:ind w:left="375" w:right="45"/>
        <w:rPr>
          <w:rFonts w:cs="Arial"/>
          <w:sz w:val="18"/>
        </w:rPr>
      </w:pPr>
    </w:p>
    <w:p w14:paraId="2848A08B" w14:textId="77777777" w:rsidR="007D2814" w:rsidRDefault="007D2814">
      <w:pPr>
        <w:spacing w:before="1" w:line="220" w:lineRule="auto"/>
        <w:ind w:left="375" w:right="45"/>
        <w:rPr>
          <w:rFonts w:cs="Arial"/>
          <w:sz w:val="18"/>
        </w:rPr>
      </w:pPr>
    </w:p>
    <w:p w14:paraId="0543C3B3" w14:textId="77777777" w:rsidR="007D2814" w:rsidRDefault="007D2814">
      <w:pPr>
        <w:spacing w:before="1" w:line="220" w:lineRule="auto"/>
        <w:ind w:left="375" w:right="45"/>
        <w:rPr>
          <w:rFonts w:cs="Arial"/>
          <w:sz w:val="18"/>
        </w:rPr>
      </w:pPr>
    </w:p>
    <w:p w14:paraId="13B75D48" w14:textId="77777777" w:rsidR="007D2814" w:rsidRDefault="007D2814">
      <w:pPr>
        <w:spacing w:before="1" w:line="220" w:lineRule="auto"/>
        <w:ind w:left="375" w:right="45"/>
        <w:rPr>
          <w:rFonts w:cs="Arial"/>
          <w:sz w:val="18"/>
        </w:rPr>
      </w:pPr>
    </w:p>
    <w:p w14:paraId="7C824FEB" w14:textId="77777777" w:rsidR="007D2814" w:rsidRDefault="007D2814">
      <w:pPr>
        <w:spacing w:before="1" w:line="220" w:lineRule="auto"/>
        <w:ind w:left="375" w:right="45"/>
        <w:rPr>
          <w:rFonts w:cs="Arial"/>
          <w:sz w:val="18"/>
        </w:rPr>
      </w:pPr>
    </w:p>
    <w:p w14:paraId="2E40F67D" w14:textId="77777777" w:rsidR="007D2814" w:rsidRDefault="007D2814">
      <w:pPr>
        <w:spacing w:before="1" w:line="220" w:lineRule="auto"/>
        <w:ind w:left="375" w:right="45"/>
        <w:rPr>
          <w:rFonts w:cs="Arial"/>
          <w:sz w:val="18"/>
        </w:rPr>
      </w:pPr>
    </w:p>
    <w:p w14:paraId="0D3CE6AA" w14:textId="77777777" w:rsidR="007D2814" w:rsidRDefault="007D2814">
      <w:pPr>
        <w:spacing w:before="1" w:line="220" w:lineRule="auto"/>
        <w:ind w:left="375" w:right="45"/>
        <w:rPr>
          <w:rFonts w:cs="Arial"/>
          <w:sz w:val="18"/>
        </w:rPr>
      </w:pPr>
    </w:p>
    <w:p w14:paraId="7469C5A5" w14:textId="77777777" w:rsidR="007D2814" w:rsidRDefault="007D2814">
      <w:pPr>
        <w:spacing w:before="1" w:line="220" w:lineRule="auto"/>
        <w:ind w:left="375" w:right="45"/>
        <w:rPr>
          <w:rFonts w:cs="Arial"/>
          <w:sz w:val="18"/>
        </w:rPr>
      </w:pPr>
    </w:p>
    <w:p w14:paraId="18D04C7F" w14:textId="77777777" w:rsidR="007D2814" w:rsidRDefault="007D2814">
      <w:pPr>
        <w:spacing w:before="1" w:line="220" w:lineRule="auto"/>
        <w:ind w:left="375" w:right="45"/>
        <w:rPr>
          <w:rFonts w:cs="Arial"/>
          <w:sz w:val="18"/>
        </w:rPr>
      </w:pPr>
    </w:p>
    <w:p w14:paraId="0A1359DD" w14:textId="77777777" w:rsidR="007D2814" w:rsidRDefault="007D2814">
      <w:pPr>
        <w:spacing w:before="1" w:line="220" w:lineRule="auto"/>
        <w:ind w:left="375" w:right="45"/>
        <w:rPr>
          <w:rFonts w:cs="Arial"/>
          <w:sz w:val="18"/>
        </w:rPr>
      </w:pPr>
    </w:p>
    <w:p w14:paraId="236B2FD4" w14:textId="77777777" w:rsidR="007D2814" w:rsidRDefault="007D2814">
      <w:pPr>
        <w:spacing w:before="1" w:line="220" w:lineRule="auto"/>
        <w:ind w:left="375" w:right="45"/>
        <w:rPr>
          <w:rFonts w:cs="Arial"/>
          <w:sz w:val="18"/>
        </w:rPr>
      </w:pPr>
    </w:p>
    <w:p w14:paraId="6216A8DD" w14:textId="77777777" w:rsidR="007D2814" w:rsidRDefault="007D2814">
      <w:pPr>
        <w:spacing w:before="1" w:line="220" w:lineRule="auto"/>
        <w:ind w:left="375" w:right="45"/>
        <w:rPr>
          <w:rFonts w:cs="Arial"/>
          <w:sz w:val="18"/>
        </w:rPr>
      </w:pPr>
    </w:p>
    <w:p w14:paraId="1A58FFC1" w14:textId="77777777" w:rsidR="007D2814" w:rsidRDefault="007D2814">
      <w:pPr>
        <w:spacing w:before="1" w:line="220" w:lineRule="auto"/>
        <w:ind w:left="375" w:right="45"/>
        <w:rPr>
          <w:rFonts w:cs="Arial"/>
          <w:sz w:val="18"/>
        </w:rPr>
      </w:pPr>
    </w:p>
    <w:p w14:paraId="63583DF1" w14:textId="77777777" w:rsidR="007D2814" w:rsidRDefault="007D2814">
      <w:pPr>
        <w:spacing w:before="1" w:line="220" w:lineRule="auto"/>
        <w:ind w:left="375" w:right="45"/>
        <w:rPr>
          <w:rFonts w:cs="Arial"/>
          <w:sz w:val="18"/>
        </w:rPr>
      </w:pPr>
    </w:p>
    <w:p w14:paraId="4B4D348C" w14:textId="77777777" w:rsidR="007D2814" w:rsidRDefault="007D2814">
      <w:pPr>
        <w:spacing w:before="1" w:line="220" w:lineRule="auto"/>
        <w:ind w:left="375" w:right="45"/>
        <w:rPr>
          <w:rFonts w:cs="Arial"/>
          <w:sz w:val="18"/>
        </w:rPr>
      </w:pPr>
    </w:p>
    <w:p w14:paraId="6BE5AB35" w14:textId="77777777" w:rsidR="007D2814" w:rsidRDefault="007D2814">
      <w:pPr>
        <w:spacing w:before="1" w:line="220" w:lineRule="auto"/>
        <w:ind w:left="375" w:right="45"/>
        <w:rPr>
          <w:rFonts w:cs="Arial"/>
          <w:sz w:val="18"/>
        </w:rPr>
      </w:pPr>
    </w:p>
    <w:p w14:paraId="64E613FA" w14:textId="77777777" w:rsidR="007D2814" w:rsidRDefault="007D2814">
      <w:pPr>
        <w:spacing w:before="1" w:line="220" w:lineRule="auto"/>
        <w:ind w:left="375" w:right="45"/>
        <w:rPr>
          <w:rFonts w:cs="Arial"/>
          <w:sz w:val="18"/>
        </w:rPr>
      </w:pPr>
    </w:p>
    <w:p w14:paraId="6999443F" w14:textId="77777777" w:rsidR="007D2814" w:rsidRDefault="007D2814">
      <w:pPr>
        <w:spacing w:before="1" w:line="220" w:lineRule="auto"/>
        <w:ind w:left="375" w:right="45"/>
        <w:rPr>
          <w:rFonts w:cs="Arial"/>
          <w:sz w:val="18"/>
        </w:rPr>
      </w:pPr>
    </w:p>
    <w:p w14:paraId="37DC0A57" w14:textId="77777777" w:rsidR="007D2814" w:rsidRDefault="007D2814">
      <w:pPr>
        <w:spacing w:before="1" w:line="220" w:lineRule="auto"/>
        <w:ind w:left="375" w:right="45"/>
        <w:rPr>
          <w:rFonts w:cs="Arial"/>
          <w:sz w:val="18"/>
        </w:rPr>
      </w:pPr>
    </w:p>
    <w:p w14:paraId="0F858333" w14:textId="77777777" w:rsidR="007D2814" w:rsidRDefault="007D2814">
      <w:pPr>
        <w:spacing w:before="1" w:line="220" w:lineRule="auto"/>
        <w:ind w:left="375" w:right="45"/>
        <w:rPr>
          <w:rFonts w:cs="Arial"/>
          <w:sz w:val="18"/>
        </w:rPr>
      </w:pPr>
    </w:p>
    <w:p w14:paraId="1006FBF8" w14:textId="77777777" w:rsidR="007D2814" w:rsidRDefault="007D2814">
      <w:pPr>
        <w:spacing w:before="1" w:line="220" w:lineRule="auto"/>
        <w:ind w:left="375" w:right="45"/>
        <w:rPr>
          <w:rFonts w:cs="Arial"/>
          <w:sz w:val="18"/>
        </w:rPr>
      </w:pPr>
    </w:p>
    <w:p w14:paraId="76FD14A9" w14:textId="77777777" w:rsidR="007D2814" w:rsidRDefault="007D2814">
      <w:pPr>
        <w:spacing w:before="1" w:line="220" w:lineRule="auto"/>
        <w:ind w:left="375" w:right="45"/>
        <w:rPr>
          <w:rFonts w:cs="Arial"/>
          <w:sz w:val="18"/>
        </w:rPr>
      </w:pPr>
    </w:p>
    <w:p w14:paraId="660E80BE" w14:textId="77777777" w:rsidR="007D2814" w:rsidRDefault="007D2814">
      <w:pPr>
        <w:spacing w:before="1" w:line="220" w:lineRule="auto"/>
        <w:ind w:left="375" w:right="45"/>
        <w:rPr>
          <w:rFonts w:cs="Arial"/>
          <w:sz w:val="18"/>
        </w:rPr>
      </w:pPr>
    </w:p>
    <w:p w14:paraId="556DE1D9" w14:textId="77777777" w:rsidR="007D2814" w:rsidRDefault="007D2814">
      <w:pPr>
        <w:spacing w:before="1" w:line="220" w:lineRule="auto"/>
        <w:ind w:left="375" w:right="45"/>
        <w:rPr>
          <w:rFonts w:cs="Arial"/>
          <w:sz w:val="18"/>
        </w:rPr>
      </w:pPr>
    </w:p>
    <w:p w14:paraId="737E2017" w14:textId="77777777" w:rsidR="007D2814" w:rsidRDefault="007D2814">
      <w:pPr>
        <w:spacing w:before="1" w:line="220" w:lineRule="auto"/>
        <w:ind w:left="375" w:right="45"/>
        <w:rPr>
          <w:rFonts w:cs="Arial"/>
          <w:sz w:val="18"/>
        </w:rPr>
      </w:pPr>
    </w:p>
    <w:p w14:paraId="48A1FF87" w14:textId="77777777" w:rsidR="007D2814" w:rsidRDefault="007D2814">
      <w:pPr>
        <w:spacing w:before="1" w:line="220" w:lineRule="auto"/>
        <w:ind w:left="375" w:right="45"/>
        <w:rPr>
          <w:rFonts w:cs="Arial"/>
          <w:sz w:val="18"/>
        </w:rPr>
      </w:pPr>
    </w:p>
    <w:p w14:paraId="09D4AA8C" w14:textId="77777777" w:rsidR="007D2814" w:rsidRDefault="007D2814">
      <w:pPr>
        <w:spacing w:before="1" w:line="220" w:lineRule="auto"/>
        <w:ind w:left="375" w:right="45"/>
        <w:rPr>
          <w:rFonts w:cs="Arial"/>
          <w:sz w:val="18"/>
        </w:rPr>
      </w:pPr>
    </w:p>
    <w:p w14:paraId="3E9F81CB" w14:textId="77777777" w:rsidR="007D2814" w:rsidRDefault="007D2814">
      <w:pPr>
        <w:spacing w:after="40" w:line="220" w:lineRule="auto"/>
        <w:ind w:left="375" w:right="515"/>
        <w:rPr>
          <w:rFonts w:cs="Arial"/>
          <w:color w:val="6D6E71"/>
        </w:rPr>
      </w:pPr>
    </w:p>
    <w:p w14:paraId="084326C9" w14:textId="77777777" w:rsidR="007D2814" w:rsidRDefault="007D2814">
      <w:pPr>
        <w:spacing w:after="40" w:line="220" w:lineRule="auto"/>
        <w:ind w:left="375" w:right="515"/>
        <w:rPr>
          <w:rFonts w:cs="Arial"/>
          <w:color w:val="6D6E71"/>
        </w:rPr>
      </w:pPr>
    </w:p>
    <w:p w14:paraId="13339EED" w14:textId="77777777" w:rsidR="007D2814" w:rsidRDefault="007D2814">
      <w:pPr>
        <w:spacing w:after="40" w:line="220" w:lineRule="auto"/>
        <w:ind w:left="375" w:right="515"/>
        <w:rPr>
          <w:rFonts w:cs="Arial"/>
          <w:color w:val="6D6E71"/>
        </w:rPr>
      </w:pPr>
    </w:p>
    <w:p w14:paraId="3E649C86" w14:textId="77777777" w:rsidR="007D2814" w:rsidRDefault="007D2814">
      <w:pPr>
        <w:spacing w:after="40" w:line="220" w:lineRule="auto"/>
        <w:ind w:left="375" w:right="515"/>
        <w:rPr>
          <w:rFonts w:cs="Arial"/>
          <w:color w:val="6D6E71"/>
        </w:rPr>
      </w:pPr>
    </w:p>
    <w:p w14:paraId="34D5A3E3" w14:textId="77777777" w:rsidR="007D2814" w:rsidRDefault="007D2814">
      <w:pPr>
        <w:spacing w:after="40" w:line="220" w:lineRule="auto"/>
        <w:ind w:left="375" w:right="515"/>
        <w:rPr>
          <w:rFonts w:cs="Arial"/>
          <w:color w:val="6D6E71"/>
        </w:rPr>
      </w:pPr>
    </w:p>
    <w:p w14:paraId="02FD01D4" w14:textId="77777777" w:rsidR="007D2814" w:rsidRDefault="007D2814">
      <w:pPr>
        <w:spacing w:after="40" w:line="220" w:lineRule="auto"/>
        <w:ind w:left="375" w:right="515"/>
        <w:rPr>
          <w:rFonts w:cs="Arial"/>
          <w:color w:val="6D6E71"/>
        </w:rPr>
      </w:pPr>
    </w:p>
    <w:p w14:paraId="3F3BC4A2" w14:textId="77777777" w:rsidR="007D2814" w:rsidRDefault="007D2814">
      <w:pPr>
        <w:spacing w:after="40" w:line="220" w:lineRule="auto"/>
        <w:ind w:left="375" w:right="515"/>
        <w:rPr>
          <w:rFonts w:cs="Arial"/>
          <w:color w:val="6D6E71"/>
        </w:rPr>
      </w:pPr>
    </w:p>
    <w:p w14:paraId="72F3518B" w14:textId="77777777" w:rsidR="007D2814" w:rsidRDefault="007D2814">
      <w:pPr>
        <w:spacing w:after="40" w:line="220" w:lineRule="auto"/>
        <w:ind w:left="375" w:right="515"/>
        <w:rPr>
          <w:rFonts w:cs="Arial"/>
          <w:color w:val="6D6E71"/>
        </w:rPr>
      </w:pPr>
    </w:p>
    <w:p w14:paraId="7B8C3867" w14:textId="77777777" w:rsidR="007D2814" w:rsidRDefault="007D2814">
      <w:pPr>
        <w:spacing w:after="40" w:line="220" w:lineRule="auto"/>
        <w:ind w:left="375" w:right="515"/>
        <w:rPr>
          <w:rFonts w:cs="Arial"/>
        </w:rPr>
      </w:pPr>
    </w:p>
    <w:p w14:paraId="4D5CD1CF" w14:textId="77777777" w:rsidR="007D2814" w:rsidRDefault="007D2814">
      <w:pPr>
        <w:spacing w:after="40" w:line="220" w:lineRule="auto"/>
        <w:ind w:left="375" w:right="515"/>
        <w:rPr>
          <w:rFonts w:cs="Arial"/>
        </w:rPr>
      </w:pPr>
    </w:p>
    <w:p w14:paraId="7CE9DEEB" w14:textId="77777777" w:rsidR="007D2814" w:rsidRDefault="00DD102F">
      <w:pPr>
        <w:pStyle w:val="P68B1DB1-Normal3"/>
        <w:spacing w:line="220" w:lineRule="auto"/>
      </w:pPr>
      <w:r>
        <w:rPr>
          <w:noProof/>
          <w:lang w:val="en-US"/>
        </w:rPr>
        <mc:AlternateContent>
          <mc:Choice Requires="wpg">
            <w:drawing>
              <wp:inline distT="0" distB="0" distL="0" distR="0" wp14:anchorId="607BDE7E" wp14:editId="0B13837C">
                <wp:extent cx="1097280" cy="464185"/>
                <wp:effectExtent l="6350" t="8890" r="1270" b="3175"/>
                <wp:docPr id="2" name="Grupul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7280" cy="464185"/>
                          <a:chOff x="0" y="0"/>
                          <a:chExt cx="1728" cy="731"/>
                        </a:xfrm>
                      </wpg:grpSpPr>
                      <wps:wsp>
                        <wps:cNvPr id="22" name="docshape3"/>
                        <wps:cNvSpPr>
                          <a:spLocks/>
                        </wps:cNvSpPr>
                        <wps:spPr bwMode="auto">
                          <a:xfrm>
                            <a:off x="0" y="0"/>
                            <a:ext cx="1728" cy="731"/>
                          </a:xfrm>
                          <a:custGeom>
                            <a:avLst/>
                            <a:gdLst>
                              <a:gd name="T0" fmla="*/ 0 w 1728"/>
                              <a:gd name="T1" fmla="*/ 11 h 731"/>
                              <a:gd name="T2" fmla="*/ 182 w 1728"/>
                              <a:gd name="T3" fmla="*/ 721 h 731"/>
                              <a:gd name="T4" fmla="*/ 945 w 1728"/>
                              <a:gd name="T5" fmla="*/ 365 h 731"/>
                              <a:gd name="T6" fmla="*/ 919 w 1728"/>
                              <a:gd name="T7" fmla="*/ 223 h 731"/>
                              <a:gd name="T8" fmla="*/ 846 w 1728"/>
                              <a:gd name="T9" fmla="*/ 107 h 731"/>
                              <a:gd name="T10" fmla="*/ 736 w 1728"/>
                              <a:gd name="T11" fmla="*/ 29 h 731"/>
                              <a:gd name="T12" fmla="*/ 597 w 1728"/>
                              <a:gd name="T13" fmla="*/ 0 h 731"/>
                              <a:gd name="T14" fmla="*/ 431 w 1728"/>
                              <a:gd name="T15" fmla="*/ 41 h 731"/>
                              <a:gd name="T16" fmla="*/ 305 w 1728"/>
                              <a:gd name="T17" fmla="*/ 150 h 731"/>
                              <a:gd name="T18" fmla="*/ 466 w 1728"/>
                              <a:gd name="T19" fmla="*/ 208 h 731"/>
                              <a:gd name="T20" fmla="*/ 548 w 1728"/>
                              <a:gd name="T21" fmla="*/ 161 h 731"/>
                              <a:gd name="T22" fmla="*/ 653 w 1728"/>
                              <a:gd name="T23" fmla="*/ 162 h 731"/>
                              <a:gd name="T24" fmla="*/ 743 w 1728"/>
                              <a:gd name="T25" fmla="*/ 223 h 731"/>
                              <a:gd name="T26" fmla="*/ 248 w 1728"/>
                              <a:gd name="T27" fmla="*/ 270 h 731"/>
                              <a:gd name="T28" fmla="*/ 239 w 1728"/>
                              <a:gd name="T29" fmla="*/ 316 h 731"/>
                              <a:gd name="T30" fmla="*/ 236 w 1728"/>
                              <a:gd name="T31" fmla="*/ 365 h 731"/>
                              <a:gd name="T32" fmla="*/ 264 w 1728"/>
                              <a:gd name="T33" fmla="*/ 507 h 731"/>
                              <a:gd name="T34" fmla="*/ 342 w 1728"/>
                              <a:gd name="T35" fmla="*/ 623 h 731"/>
                              <a:gd name="T36" fmla="*/ 457 w 1728"/>
                              <a:gd name="T37" fmla="*/ 701 h 731"/>
                              <a:gd name="T38" fmla="*/ 597 w 1728"/>
                              <a:gd name="T39" fmla="*/ 730 h 731"/>
                              <a:gd name="T40" fmla="*/ 764 w 1728"/>
                              <a:gd name="T41" fmla="*/ 689 h 731"/>
                              <a:gd name="T42" fmla="*/ 889 w 1728"/>
                              <a:gd name="T43" fmla="*/ 579 h 731"/>
                              <a:gd name="T44" fmla="*/ 729 w 1728"/>
                              <a:gd name="T45" fmla="*/ 522 h 731"/>
                              <a:gd name="T46" fmla="*/ 646 w 1728"/>
                              <a:gd name="T47" fmla="*/ 569 h 731"/>
                              <a:gd name="T48" fmla="*/ 533 w 1728"/>
                              <a:gd name="T49" fmla="*/ 564 h 731"/>
                              <a:gd name="T50" fmla="*/ 435 w 1728"/>
                              <a:gd name="T51" fmla="*/ 485 h 731"/>
                              <a:gd name="T52" fmla="*/ 940 w 1728"/>
                              <a:gd name="T53" fmla="*/ 424 h 731"/>
                              <a:gd name="T54" fmla="*/ 944 w 1728"/>
                              <a:gd name="T55" fmla="*/ 395 h 731"/>
                              <a:gd name="T56" fmla="*/ 945 w 1728"/>
                              <a:gd name="T57" fmla="*/ 365 h 731"/>
                              <a:gd name="T58" fmla="*/ 1556 w 1728"/>
                              <a:gd name="T59" fmla="*/ 11 h 731"/>
                              <a:gd name="T60" fmla="*/ 1541 w 1728"/>
                              <a:gd name="T61" fmla="*/ 446 h 731"/>
                              <a:gd name="T62" fmla="*/ 1436 w 1728"/>
                              <a:gd name="T63" fmla="*/ 553 h 731"/>
                              <a:gd name="T64" fmla="*/ 1276 w 1728"/>
                              <a:gd name="T65" fmla="*/ 553 h 731"/>
                              <a:gd name="T66" fmla="*/ 1170 w 1728"/>
                              <a:gd name="T67" fmla="*/ 446 h 731"/>
                              <a:gd name="T68" fmla="*/ 1170 w 1728"/>
                              <a:gd name="T69" fmla="*/ 285 h 731"/>
                              <a:gd name="T70" fmla="*/ 1275 w 1728"/>
                              <a:gd name="T71" fmla="*/ 177 h 731"/>
                              <a:gd name="T72" fmla="*/ 1436 w 1728"/>
                              <a:gd name="T73" fmla="*/ 177 h 731"/>
                              <a:gd name="T74" fmla="*/ 1541 w 1728"/>
                              <a:gd name="T75" fmla="*/ 285 h 731"/>
                              <a:gd name="T76" fmla="*/ 1556 w 1728"/>
                              <a:gd name="T77" fmla="*/ 11 h 731"/>
                              <a:gd name="T78" fmla="*/ 1547 w 1728"/>
                              <a:gd name="T79" fmla="*/ 80 h 731"/>
                              <a:gd name="T80" fmla="*/ 1456 w 1728"/>
                              <a:gd name="T81" fmla="*/ 21 h 731"/>
                              <a:gd name="T82" fmla="*/ 1347 w 1728"/>
                              <a:gd name="T83" fmla="*/ 0 h 731"/>
                              <a:gd name="T84" fmla="*/ 1208 w 1728"/>
                              <a:gd name="T85" fmla="*/ 29 h 731"/>
                              <a:gd name="T86" fmla="*/ 1095 w 1728"/>
                              <a:gd name="T87" fmla="*/ 107 h 731"/>
                              <a:gd name="T88" fmla="*/ 1019 w 1728"/>
                              <a:gd name="T89" fmla="*/ 223 h 731"/>
                              <a:gd name="T90" fmla="*/ 991 w 1728"/>
                              <a:gd name="T91" fmla="*/ 366 h 731"/>
                              <a:gd name="T92" fmla="*/ 1019 w 1728"/>
                              <a:gd name="T93" fmla="*/ 508 h 731"/>
                              <a:gd name="T94" fmla="*/ 1095 w 1728"/>
                              <a:gd name="T95" fmla="*/ 624 h 731"/>
                              <a:gd name="T96" fmla="*/ 1208 w 1728"/>
                              <a:gd name="T97" fmla="*/ 702 h 731"/>
                              <a:gd name="T98" fmla="*/ 1347 w 1728"/>
                              <a:gd name="T99" fmla="*/ 731 h 731"/>
                              <a:gd name="T100" fmla="*/ 1455 w 1728"/>
                              <a:gd name="T101" fmla="*/ 711 h 731"/>
                              <a:gd name="T102" fmla="*/ 1547 w 1728"/>
                              <a:gd name="T103" fmla="*/ 650 h 731"/>
                              <a:gd name="T104" fmla="*/ 1728 w 1728"/>
                              <a:gd name="T105" fmla="*/ 720 h 731"/>
                              <a:gd name="T106" fmla="*/ 1728 w 1728"/>
                              <a:gd name="T107" fmla="*/ 568 h 731"/>
                              <a:gd name="T108" fmla="*/ 1728 w 1728"/>
                              <a:gd name="T109" fmla="*/ 80 h 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728" h="731">
                                <a:moveTo>
                                  <a:pt x="182" y="11"/>
                                </a:moveTo>
                                <a:lnTo>
                                  <a:pt x="0" y="11"/>
                                </a:lnTo>
                                <a:lnTo>
                                  <a:pt x="0" y="721"/>
                                </a:lnTo>
                                <a:lnTo>
                                  <a:pt x="182" y="721"/>
                                </a:lnTo>
                                <a:lnTo>
                                  <a:pt x="182" y="11"/>
                                </a:lnTo>
                                <a:close/>
                                <a:moveTo>
                                  <a:pt x="945" y="365"/>
                                </a:moveTo>
                                <a:lnTo>
                                  <a:pt x="938" y="291"/>
                                </a:lnTo>
                                <a:lnTo>
                                  <a:pt x="919" y="223"/>
                                </a:lnTo>
                                <a:lnTo>
                                  <a:pt x="888" y="161"/>
                                </a:lnTo>
                                <a:lnTo>
                                  <a:pt x="846" y="107"/>
                                </a:lnTo>
                                <a:lnTo>
                                  <a:pt x="795" y="62"/>
                                </a:lnTo>
                                <a:lnTo>
                                  <a:pt x="736" y="29"/>
                                </a:lnTo>
                                <a:lnTo>
                                  <a:pt x="670" y="7"/>
                                </a:lnTo>
                                <a:lnTo>
                                  <a:pt x="597" y="0"/>
                                </a:lnTo>
                                <a:lnTo>
                                  <a:pt x="510" y="11"/>
                                </a:lnTo>
                                <a:lnTo>
                                  <a:pt x="431" y="41"/>
                                </a:lnTo>
                                <a:lnTo>
                                  <a:pt x="362" y="88"/>
                                </a:lnTo>
                                <a:lnTo>
                                  <a:pt x="305" y="150"/>
                                </a:lnTo>
                                <a:lnTo>
                                  <a:pt x="435" y="245"/>
                                </a:lnTo>
                                <a:lnTo>
                                  <a:pt x="466" y="208"/>
                                </a:lnTo>
                                <a:lnTo>
                                  <a:pt x="504" y="179"/>
                                </a:lnTo>
                                <a:lnTo>
                                  <a:pt x="548" y="161"/>
                                </a:lnTo>
                                <a:lnTo>
                                  <a:pt x="597" y="154"/>
                                </a:lnTo>
                                <a:lnTo>
                                  <a:pt x="653" y="162"/>
                                </a:lnTo>
                                <a:lnTo>
                                  <a:pt x="702" y="186"/>
                                </a:lnTo>
                                <a:lnTo>
                                  <a:pt x="743" y="223"/>
                                </a:lnTo>
                                <a:lnTo>
                                  <a:pt x="773" y="270"/>
                                </a:lnTo>
                                <a:lnTo>
                                  <a:pt x="248" y="270"/>
                                </a:lnTo>
                                <a:lnTo>
                                  <a:pt x="243" y="293"/>
                                </a:lnTo>
                                <a:lnTo>
                                  <a:pt x="239" y="316"/>
                                </a:lnTo>
                                <a:lnTo>
                                  <a:pt x="237" y="340"/>
                                </a:lnTo>
                                <a:lnTo>
                                  <a:pt x="236" y="365"/>
                                </a:lnTo>
                                <a:lnTo>
                                  <a:pt x="243" y="438"/>
                                </a:lnTo>
                                <a:lnTo>
                                  <a:pt x="264" y="507"/>
                                </a:lnTo>
                                <a:lnTo>
                                  <a:pt x="298" y="569"/>
                                </a:lnTo>
                                <a:lnTo>
                                  <a:pt x="342" y="623"/>
                                </a:lnTo>
                                <a:lnTo>
                                  <a:pt x="395" y="667"/>
                                </a:lnTo>
                                <a:lnTo>
                                  <a:pt x="457" y="701"/>
                                </a:lnTo>
                                <a:lnTo>
                                  <a:pt x="524" y="722"/>
                                </a:lnTo>
                                <a:lnTo>
                                  <a:pt x="597" y="730"/>
                                </a:lnTo>
                                <a:lnTo>
                                  <a:pt x="684" y="719"/>
                                </a:lnTo>
                                <a:lnTo>
                                  <a:pt x="764" y="689"/>
                                </a:lnTo>
                                <a:lnTo>
                                  <a:pt x="833" y="641"/>
                                </a:lnTo>
                                <a:lnTo>
                                  <a:pt x="889" y="579"/>
                                </a:lnTo>
                                <a:lnTo>
                                  <a:pt x="760" y="484"/>
                                </a:lnTo>
                                <a:lnTo>
                                  <a:pt x="729" y="522"/>
                                </a:lnTo>
                                <a:lnTo>
                                  <a:pt x="691" y="551"/>
                                </a:lnTo>
                                <a:lnTo>
                                  <a:pt x="646" y="569"/>
                                </a:lnTo>
                                <a:lnTo>
                                  <a:pt x="597" y="576"/>
                                </a:lnTo>
                                <a:lnTo>
                                  <a:pt x="533" y="564"/>
                                </a:lnTo>
                                <a:lnTo>
                                  <a:pt x="478" y="533"/>
                                </a:lnTo>
                                <a:lnTo>
                                  <a:pt x="435" y="485"/>
                                </a:lnTo>
                                <a:lnTo>
                                  <a:pt x="408" y="424"/>
                                </a:lnTo>
                                <a:lnTo>
                                  <a:pt x="940" y="424"/>
                                </a:lnTo>
                                <a:lnTo>
                                  <a:pt x="943" y="410"/>
                                </a:lnTo>
                                <a:lnTo>
                                  <a:pt x="944" y="395"/>
                                </a:lnTo>
                                <a:lnTo>
                                  <a:pt x="945" y="380"/>
                                </a:lnTo>
                                <a:lnTo>
                                  <a:pt x="945" y="365"/>
                                </a:lnTo>
                                <a:close/>
                                <a:moveTo>
                                  <a:pt x="1728" y="11"/>
                                </a:moveTo>
                                <a:lnTo>
                                  <a:pt x="1556" y="11"/>
                                </a:lnTo>
                                <a:lnTo>
                                  <a:pt x="1556" y="366"/>
                                </a:lnTo>
                                <a:lnTo>
                                  <a:pt x="1541" y="446"/>
                                </a:lnTo>
                                <a:lnTo>
                                  <a:pt x="1499" y="510"/>
                                </a:lnTo>
                                <a:lnTo>
                                  <a:pt x="1436" y="553"/>
                                </a:lnTo>
                                <a:lnTo>
                                  <a:pt x="1356" y="568"/>
                                </a:lnTo>
                                <a:lnTo>
                                  <a:pt x="1276" y="553"/>
                                </a:lnTo>
                                <a:lnTo>
                                  <a:pt x="1212" y="510"/>
                                </a:lnTo>
                                <a:lnTo>
                                  <a:pt x="1170" y="446"/>
                                </a:lnTo>
                                <a:lnTo>
                                  <a:pt x="1155" y="365"/>
                                </a:lnTo>
                                <a:lnTo>
                                  <a:pt x="1170" y="285"/>
                                </a:lnTo>
                                <a:lnTo>
                                  <a:pt x="1212" y="220"/>
                                </a:lnTo>
                                <a:lnTo>
                                  <a:pt x="1275" y="177"/>
                                </a:lnTo>
                                <a:lnTo>
                                  <a:pt x="1356" y="161"/>
                                </a:lnTo>
                                <a:lnTo>
                                  <a:pt x="1436" y="177"/>
                                </a:lnTo>
                                <a:lnTo>
                                  <a:pt x="1499" y="220"/>
                                </a:lnTo>
                                <a:lnTo>
                                  <a:pt x="1541" y="285"/>
                                </a:lnTo>
                                <a:lnTo>
                                  <a:pt x="1556" y="366"/>
                                </a:lnTo>
                                <a:lnTo>
                                  <a:pt x="1556" y="11"/>
                                </a:lnTo>
                                <a:lnTo>
                                  <a:pt x="1547" y="11"/>
                                </a:lnTo>
                                <a:lnTo>
                                  <a:pt x="1547" y="80"/>
                                </a:lnTo>
                                <a:lnTo>
                                  <a:pt x="1505" y="46"/>
                                </a:lnTo>
                                <a:lnTo>
                                  <a:pt x="1456" y="21"/>
                                </a:lnTo>
                                <a:lnTo>
                                  <a:pt x="1402" y="6"/>
                                </a:lnTo>
                                <a:lnTo>
                                  <a:pt x="1347" y="0"/>
                                </a:lnTo>
                                <a:lnTo>
                                  <a:pt x="1275" y="8"/>
                                </a:lnTo>
                                <a:lnTo>
                                  <a:pt x="1208" y="29"/>
                                </a:lnTo>
                                <a:lnTo>
                                  <a:pt x="1148" y="63"/>
                                </a:lnTo>
                                <a:lnTo>
                                  <a:pt x="1095" y="107"/>
                                </a:lnTo>
                                <a:lnTo>
                                  <a:pt x="1052" y="161"/>
                                </a:lnTo>
                                <a:lnTo>
                                  <a:pt x="1019" y="223"/>
                                </a:lnTo>
                                <a:lnTo>
                                  <a:pt x="998" y="292"/>
                                </a:lnTo>
                                <a:lnTo>
                                  <a:pt x="991" y="366"/>
                                </a:lnTo>
                                <a:lnTo>
                                  <a:pt x="998" y="439"/>
                                </a:lnTo>
                                <a:lnTo>
                                  <a:pt x="1019" y="508"/>
                                </a:lnTo>
                                <a:lnTo>
                                  <a:pt x="1052" y="570"/>
                                </a:lnTo>
                                <a:lnTo>
                                  <a:pt x="1095" y="624"/>
                                </a:lnTo>
                                <a:lnTo>
                                  <a:pt x="1148" y="668"/>
                                </a:lnTo>
                                <a:lnTo>
                                  <a:pt x="1208" y="702"/>
                                </a:lnTo>
                                <a:lnTo>
                                  <a:pt x="1275" y="723"/>
                                </a:lnTo>
                                <a:lnTo>
                                  <a:pt x="1347" y="731"/>
                                </a:lnTo>
                                <a:lnTo>
                                  <a:pt x="1402" y="726"/>
                                </a:lnTo>
                                <a:lnTo>
                                  <a:pt x="1455" y="711"/>
                                </a:lnTo>
                                <a:lnTo>
                                  <a:pt x="1504" y="686"/>
                                </a:lnTo>
                                <a:lnTo>
                                  <a:pt x="1547" y="650"/>
                                </a:lnTo>
                                <a:lnTo>
                                  <a:pt x="1547" y="720"/>
                                </a:lnTo>
                                <a:lnTo>
                                  <a:pt x="1728" y="720"/>
                                </a:lnTo>
                                <a:lnTo>
                                  <a:pt x="1728" y="650"/>
                                </a:lnTo>
                                <a:lnTo>
                                  <a:pt x="1728" y="568"/>
                                </a:lnTo>
                                <a:lnTo>
                                  <a:pt x="1728" y="161"/>
                                </a:lnTo>
                                <a:lnTo>
                                  <a:pt x="1728" y="80"/>
                                </a:lnTo>
                                <a:lnTo>
                                  <a:pt x="1728" y="11"/>
                                </a:lnTo>
                                <a:close/>
                              </a:path>
                            </a:pathLst>
                          </a:custGeom>
                          <a:solidFill>
                            <a:srgbClr val="0044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27618C5" id="Grupul 2" o:spid="_x0000_s1026" style="width:86.4pt;height:36.55pt;mso-position-horizontal-relative:char;mso-position-vertical-relative:line" coordsize="1728,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">
                <v:shape id="docshape3" o:spid="_x0000_s1027" style="position:absolute;width:1728;height:731;visibility:visible;mso-wrap-style:square;v-text-anchor:top" coordsize="1728,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" path="m182,11l,11,,721r182,l182,11xm945,365r-7,-74l919,223,888,161,846,107,795,62,736,29,670,7,597,,510,11,431,41,362,88r-57,62l435,245r31,-37l504,179r44,-18l597,154r56,8l702,186r41,37l773,270r-525,l243,293r-4,23l237,340r-1,25l243,438r21,69l298,569r44,54l395,667r62,34l524,722r73,8l684,719r80,-30l833,641r56,-62l760,484r-31,38l691,551r-45,18l597,576,533,564,478,533,435,485,408,424r532,l943,410r1,-15l945,380r,-15xm1728,11r-172,l1556,366r-15,80l1499,510r-63,43l1356,568r-80,-15l1212,510r-42,-64l1155,365r15,-80l1212,220r63,-43l1356,161r80,16l1499,220r42,65l1556,366r,-355l1547,11r,69l1505,46,1456,21,1402,6,1347,r-72,8l1208,29r-60,34l1095,107r-43,54l1019,223r-21,69l991,366r7,73l1019,508r33,62l1095,624r53,44l1208,702r67,21l1347,731r55,-5l1455,711r49,-25l1547,650r,70l1728,720r,-70l1728,568r,-407l1728,80r,-69xe" fillcolor="#04f" stroked="f">
                  <v:path arrowok="t" o:connecttype="custom" o:connectlocs="0,11;182,721;945,365;919,223;846,107;736,29;597,0;431,41;305,150;466,208;548,161;653,162;743,223;248,270;239,316;236,365;264,507;342,623;457,701;597,730;764,689;889,579;729,522;646,569;533,564;435,485;940,424;944,395;945,365;1556,11;1541,446;1436,553;1276,553;1170,446;1170,285;1275,177;1436,177;1541,285;1556,11;1547,80;1456,21;1347,0;1208,29;1095,107;1019,223;991,366;1019,508;1095,624;1208,702;1347,731;1455,711;1547,650;1728,720;1728,568;1728,80" o:connectangles="0,0,0,0,0,0,0,0,0,0,0,0,0,0,0,0,0,0,0,0,0,0,0,0,0,0,0,0,0,0,0,0,0,0,0,0,0,0,0,0,0,0,0,0,0,0,0,0,0,0,0,0,0,0,0"/>
                </v:shape>
                <w10:anchorlock/>
              </v:group>
            </w:pict>
          </mc:Fallback>
        </mc:AlternateContent>
      </w:r>
      <w:bookmarkEnd w:id="14"/>
    </w:p>
    <w:bookmarkEnd w:id="15"/>
    <w:p w14:paraId="3319CCB7" w14:textId="77777777" w:rsidR="007D2814" w:rsidRDefault="007D2814">
      <w:pPr>
        <w:pStyle w:val="IEAFigureCopyright"/>
        <w:sectPr w:rsidR="007D2814" w:rsidSect="00CD1D20">
          <w:endnotePr>
            <w:numFmt w:val="decimal"/>
            <w:numRestart w:val="eachSect"/>
          </w:endnotePr>
          <w:type w:val="continuous"/>
          <w:pgSz w:w="11906" w:h="16838" w:code="9"/>
          <w:pgMar w:top="1588" w:right="1588" w:bottom="1588" w:left="1588" w:header="709" w:footer="709" w:gutter="0"/>
          <w:cols w:num="3" w:space="708"/>
          <w:docGrid w:linePitch="360"/>
        </w:sectPr>
      </w:pPr>
    </w:p>
    <w:p w14:paraId="7FCF5F52" w14:textId="77777777" w:rsidR="007D2814" w:rsidRDefault="007D2814">
      <w:pPr>
        <w:pStyle w:val="IEAFigureCopyright"/>
      </w:pPr>
    </w:p>
    <w:p w14:paraId="5D4BC0C4" w14:textId="77777777" w:rsidR="007D2814" w:rsidRDefault="00DD102F">
      <w:pPr>
        <w:pStyle w:val="Heading2"/>
      </w:pPr>
      <w:bookmarkStart w:id="16" w:name="_Toc529362091"/>
      <w:bookmarkStart w:id="17" w:name="_Toc529362585"/>
      <w:bookmarkStart w:id="18" w:name="_Toc6473155"/>
      <w:bookmarkStart w:id="19" w:name="_Toc24030431"/>
      <w:bookmarkStart w:id="20" w:name="_Toc27403897"/>
      <w:bookmarkStart w:id="21" w:name="_Toc31790242"/>
      <w:bookmarkStart w:id="22" w:name="_Toc31878820"/>
      <w:bookmarkStart w:id="23" w:name="_Toc179360627"/>
      <w:bookmarkStart w:id="24" w:name="_Toc199239190"/>
      <w:bookmarkStart w:id="25" w:name="_Toc201571401"/>
      <w:bookmarkStart w:id="26" w:name="_Toc6473129"/>
      <w:bookmarkStart w:id="27" w:name="_Toc529362071"/>
      <w:bookmarkStart w:id="28" w:name="_Toc529362565"/>
      <w:bookmarkStart w:id="29" w:name="_Toc535480279"/>
      <w:bookmarkEnd w:id="2"/>
      <w:bookmarkEnd w:id="3"/>
      <w:bookmarkEnd w:id="4"/>
      <w:r>
        <w:t>Confirmări de primire, contribuitori și credite</w:t>
      </w:r>
      <w:bookmarkEnd w:id="16"/>
      <w:bookmarkEnd w:id="17"/>
      <w:bookmarkEnd w:id="18"/>
      <w:bookmarkEnd w:id="19"/>
      <w:bookmarkEnd w:id="20"/>
      <w:bookmarkEnd w:id="21"/>
      <w:bookmarkEnd w:id="22"/>
      <w:bookmarkEnd w:id="23"/>
      <w:bookmarkEnd w:id="24"/>
      <w:bookmarkEnd w:id="25"/>
      <w:r>
        <w:t xml:space="preserve"> </w:t>
      </w:r>
    </w:p>
    <w:p w14:paraId="290DDAA6" w14:textId="77777777" w:rsidR="007D2814" w:rsidRDefault="00DD102F">
      <w:pPr>
        <w:pStyle w:val="IEABodyText"/>
      </w:pPr>
      <w:r>
        <w:t>Această foaie de parcurs a fost scrisă și produsă de Duncan Gibb (Energy Scout) în cooperare cu Antti Rauhala (responsabil de programe pentru Marea Caspică și Marea Neagră) și Talya Vatman (manager de programe pentru Marea Caspică și Marea Neagră). Markus Fager-Pintilä a oferit un suport neprețuit cu date, analize și cifre.</w:t>
      </w:r>
    </w:p>
    <w:p w14:paraId="2D773624" w14:textId="77777777" w:rsidR="007D2814" w:rsidRDefault="00DD102F">
      <w:pPr>
        <w:pStyle w:val="IEABodyText"/>
      </w:pPr>
      <w:r>
        <w:t>Raportul a beneficiat de contribuții valoroase, comentarii și feedback din partea colegilor AIE, în special Chiara Delmastro, Roland Gladushenko, Rafael Martinez Gordon și Fabian Voswinkel. </w:t>
      </w:r>
    </w:p>
    <w:p w14:paraId="22B5F4FD" w14:textId="7FED0207" w:rsidR="007D2814" w:rsidRDefault="00DD102F">
      <w:pPr>
        <w:pStyle w:val="IEABodyText"/>
      </w:pPr>
      <w:r>
        <w:t>Mulțumim Biroului pentru comunicare și digitalizare al AIE pentru asistența acordată în elaborarea foii de parcurs, în special dnei Astrid Dumond, dnei Isabelle Nonain-Semelin, dnei Clara Vallois, dlui Poeli Bojorquez și dnei Gaelle Bruneau. Nicola Clark și-a asumat responsabilitatea editorială.   </w:t>
      </w:r>
    </w:p>
    <w:p w14:paraId="24CCC21C" w14:textId="062FAAB3" w:rsidR="007D2814" w:rsidRDefault="00DD102F">
      <w:pPr>
        <w:pStyle w:val="IEABodyText"/>
      </w:pPr>
      <w:r>
        <w:t>Mulțumiri speciale lui Mihai Tirsu, expert național EU4Energy pentru Moldova, pentru coordonarea și contribuția sa la nivel național.  </w:t>
      </w:r>
    </w:p>
    <w:p w14:paraId="420880AC" w14:textId="33F29963" w:rsidR="007D2814" w:rsidRDefault="00DD102F">
      <w:pPr>
        <w:pStyle w:val="IEABodyText"/>
      </w:pPr>
      <w:r>
        <w:t>Mulți înalți funcționari guvernamentali și experți internaționali au furnizat contribuții și au revizuit un proiect preliminar al raportului. Comentariile și sugestiile lor au fost de mare valoare. Printre acestea se numără: colegi din Ministerul Energiei, Ministerul Mediului din Republica Moldova, în special Andrei Cucoș (Ministerul Mediului) și Carolina Novac și Nicolae Magdil (Ministerul Energiei); Serghei Suruceanu (ALTAL); Denis Surdu (Di&amp;Trade Engineering SRL); Galina Ermurachi (Biroul Național de Statistică); Corina Chelmenciuc (Centrul Național pentru Energie Durabilă); Marian Brinza (S.A. CET Nord); Iurie Razlovan (S.A. TERMOELECTRICA)</w:t>
      </w:r>
      <w:r w:rsidR="009F0B5C">
        <w:t>,</w:t>
      </w:r>
      <w:r>
        <w:t xml:space="preserve"> Mihail Lupu și Dumitru Braga (Universitatea Tehnică a Moldovei). </w:t>
      </w:r>
    </w:p>
    <w:p w14:paraId="53C2F9AD" w14:textId="77777777" w:rsidR="007D2814" w:rsidRDefault="00DD102F">
      <w:pPr>
        <w:pStyle w:val="IEABodyText"/>
      </w:pPr>
      <w:r>
        <w:t>Mulțumim Comisiei Europene pentru sprijinul esențial acordat activității AIE privind EU4Energy. </w:t>
      </w:r>
    </w:p>
    <w:p w14:paraId="37D071FF" w14:textId="77777777" w:rsidR="007D2814" w:rsidRDefault="00DD102F">
      <w:pPr>
        <w:pStyle w:val="IEABodyText"/>
      </w:pPr>
      <w:r>
        <w:t>Persoanele și organizațiile care au contribuit la acest raport nu sunt responsabile pentru opiniile sau judecățile pe care le conține. Toate erorile și omisiunile sunt exclusiv responsabilitatea AIE. </w:t>
      </w:r>
    </w:p>
    <w:p w14:paraId="2E032AEA" w14:textId="77777777" w:rsidR="007D2814" w:rsidRDefault="007D2814">
      <w:pPr>
        <w:sectPr w:rsidR="007D2814" w:rsidSect="007D4BD2">
          <w:headerReference w:type="default" r:id="rId18"/>
          <w:endnotePr>
            <w:numFmt w:val="decimal"/>
            <w:numRestart w:val="eachSect"/>
          </w:endnotePr>
          <w:pgSz w:w="11906" w:h="16838" w:code="9"/>
          <w:pgMar w:top="1588" w:right="1588" w:bottom="1588" w:left="1588" w:header="709" w:footer="709" w:gutter="0"/>
          <w:cols w:space="708"/>
          <w:docGrid w:linePitch="360"/>
        </w:sectPr>
      </w:pPr>
    </w:p>
    <w:p w14:paraId="1ABA669A" w14:textId="745FA2E4" w:rsidR="007D2814" w:rsidRDefault="00DD102F">
      <w:pPr>
        <w:pStyle w:val="Heading2"/>
      </w:pPr>
      <w:bookmarkStart w:id="30" w:name="_Toc179360628"/>
      <w:bookmarkStart w:id="31" w:name="_Toc199239191"/>
      <w:bookmarkStart w:id="32" w:name="_Toc201571402"/>
      <w:bookmarkStart w:id="33" w:name="_Hlk179360871"/>
      <w:bookmarkStart w:id="34" w:name="_Toc529362072"/>
      <w:bookmarkStart w:id="35" w:name="_Toc529362566"/>
      <w:bookmarkStart w:id="36" w:name="_Toc6473130"/>
      <w:bookmarkStart w:id="37" w:name="_Toc31878822"/>
      <w:bookmarkEnd w:id="26"/>
      <w:bookmarkEnd w:id="27"/>
      <w:bookmarkEnd w:id="28"/>
      <w:bookmarkEnd w:id="29"/>
      <w:r>
        <w:lastRenderedPageBreak/>
        <w:t>Cuprins</w:t>
      </w:r>
      <w:bookmarkEnd w:id="30"/>
      <w:bookmarkEnd w:id="31"/>
      <w:bookmarkEnd w:id="32"/>
    </w:p>
    <w:p w14:paraId="53E6BEE9" w14:textId="4F122051" w:rsidR="007D2814" w:rsidRDefault="00DD102F">
      <w:pPr>
        <w:pStyle w:val="TOC1"/>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"1-2" \h \z \u </w:instrText>
      </w:r>
      <w:r>
        <w:fldChar w:fldCharType="separate"/>
      </w:r>
    </w:p>
    <w:p w14:paraId="5636E349" w14:textId="3B91E1CC" w:rsidR="007D2814" w:rsidRDefault="00DD102F">
      <w:pPr>
        <w:pStyle w:val="TOC2"/>
        <w:rPr>
          <w:rFonts w:asciiTheme="minorHAnsi" w:eastAsiaTheme="minorEastAsia" w:hAnsiTheme="minorHAnsi" w:cstheme="minorBidi"/>
          <w:noProof/>
          <w:color w:val="auto"/>
          <w:kern w:val="2"/>
          <w:sz w:val="24"/>
          <w:szCs w:val="24"/>
          <w14:ligatures w14:val="standardContextual"/>
        </w:rPr>
      </w:pPr>
      <w:hyperlink w:anchor="_Toc201571403" w:history="1">
        <w:r>
          <w:rPr>
            <w:rStyle w:val="Hyperlink"/>
            <w:noProof/>
          </w:rPr>
          <w:t>Executive summary</w:t>
        </w:r>
        <w:r>
          <w:rPr>
            <w:noProof/>
            <w:webHidden/>
          </w:rPr>
          <w:tab/>
        </w:r>
        <w:r>
          <w:rPr>
            <w:noProof/>
            <w:webHidden/>
          </w:rPr>
          <w:fldChar w:fldCharType="begin"/>
        </w:r>
        <w:r>
          <w:rPr>
            <w:noProof/>
            <w:webHidden/>
          </w:rPr>
          <w:instrText xml:space="preserve"> PAGEREF _Toc201571403 \h </w:instrText>
        </w:r>
        <w:r>
          <w:rPr>
            <w:noProof/>
            <w:webHidden/>
          </w:rPr>
        </w:r>
        <w:r>
          <w:rPr>
            <w:noProof/>
            <w:webHidden/>
          </w:rPr>
          <w:fldChar w:fldCharType="separate"/>
        </w:r>
        <w:r>
          <w:rPr>
            <w:noProof/>
            <w:webHidden/>
          </w:rPr>
          <w:t>5</w:t>
        </w:r>
        <w:r>
          <w:rPr>
            <w:noProof/>
            <w:webHidden/>
          </w:rPr>
          <w:fldChar w:fldCharType="end"/>
        </w:r>
      </w:hyperlink>
    </w:p>
    <w:p w14:paraId="12BA3DEA" w14:textId="43FB5E63" w:rsidR="007D2814" w:rsidRDefault="00DD102F">
      <w:pPr>
        <w:pStyle w:val="TOC2"/>
        <w:rPr>
          <w:rFonts w:asciiTheme="minorHAnsi" w:eastAsiaTheme="minorEastAsia" w:hAnsiTheme="minorHAnsi" w:cstheme="minorBidi"/>
          <w:noProof/>
          <w:color w:val="auto"/>
          <w:kern w:val="2"/>
          <w:sz w:val="24"/>
          <w:szCs w:val="24"/>
          <w14:ligatures w14:val="standardContextual"/>
        </w:rPr>
      </w:pPr>
      <w:hyperlink w:anchor="_Toc201571404" w:history="1">
        <w:r>
          <w:rPr>
            <w:rStyle w:val="Hyperlink"/>
            <w:noProof/>
          </w:rPr>
          <w:t>Introduction</w:t>
        </w:r>
        <w:r>
          <w:rPr>
            <w:noProof/>
            <w:webHidden/>
          </w:rPr>
          <w:tab/>
        </w:r>
        <w:r>
          <w:rPr>
            <w:noProof/>
            <w:webHidden/>
          </w:rPr>
          <w:fldChar w:fldCharType="begin"/>
        </w:r>
        <w:r>
          <w:rPr>
            <w:noProof/>
            <w:webHidden/>
          </w:rPr>
          <w:instrText xml:space="preserve"> PAGEREF _Toc201571404 \h </w:instrText>
        </w:r>
        <w:r>
          <w:rPr>
            <w:noProof/>
            <w:webHidden/>
          </w:rPr>
        </w:r>
        <w:r>
          <w:rPr>
            <w:noProof/>
            <w:webHidden/>
          </w:rPr>
          <w:fldChar w:fldCharType="separate"/>
        </w:r>
        <w:r>
          <w:rPr>
            <w:noProof/>
            <w:webHidden/>
          </w:rPr>
          <w:t>8</w:t>
        </w:r>
        <w:r>
          <w:rPr>
            <w:noProof/>
            <w:webHidden/>
          </w:rPr>
          <w:fldChar w:fldCharType="end"/>
        </w:r>
      </w:hyperlink>
    </w:p>
    <w:p w14:paraId="0DE5FE0C" w14:textId="29165911" w:rsidR="007D2814" w:rsidRDefault="00DD102F">
      <w:pPr>
        <w:pStyle w:val="TOC2"/>
        <w:rPr>
          <w:rFonts w:asciiTheme="minorHAnsi" w:eastAsiaTheme="minorEastAsia" w:hAnsiTheme="minorHAnsi" w:cstheme="minorBidi"/>
          <w:noProof/>
          <w:color w:val="auto"/>
          <w:kern w:val="2"/>
          <w:sz w:val="24"/>
          <w:szCs w:val="24"/>
          <w14:ligatures w14:val="standardContextual"/>
        </w:rPr>
      </w:pPr>
      <w:hyperlink w:anchor="_Toc201571405" w:history="1">
        <w:r>
          <w:rPr>
            <w:rStyle w:val="Hyperlink"/>
            <w:noProof/>
          </w:rPr>
          <w:t>Status and key indicators</w:t>
        </w:r>
        <w:r>
          <w:rPr>
            <w:noProof/>
            <w:webHidden/>
          </w:rPr>
          <w:tab/>
        </w:r>
        <w:r>
          <w:rPr>
            <w:noProof/>
            <w:webHidden/>
          </w:rPr>
          <w:fldChar w:fldCharType="begin"/>
        </w:r>
        <w:r>
          <w:rPr>
            <w:noProof/>
            <w:webHidden/>
          </w:rPr>
          <w:instrText xml:space="preserve"> PAGEREF _Toc201571405 \h </w:instrText>
        </w:r>
        <w:r>
          <w:rPr>
            <w:noProof/>
            <w:webHidden/>
          </w:rPr>
        </w:r>
        <w:r>
          <w:rPr>
            <w:noProof/>
            <w:webHidden/>
          </w:rPr>
          <w:fldChar w:fldCharType="separate"/>
        </w:r>
        <w:r>
          <w:rPr>
            <w:noProof/>
            <w:webHidden/>
          </w:rPr>
          <w:t>11</w:t>
        </w:r>
        <w:r>
          <w:rPr>
            <w:noProof/>
            <w:webHidden/>
          </w:rPr>
          <w:fldChar w:fldCharType="end"/>
        </w:r>
      </w:hyperlink>
    </w:p>
    <w:p w14:paraId="4B4FC323" w14:textId="603B8EF2" w:rsidR="007D2814" w:rsidRDefault="00DD102F">
      <w:pPr>
        <w:pStyle w:val="TOC2"/>
        <w:rPr>
          <w:rFonts w:asciiTheme="minorHAnsi" w:eastAsiaTheme="minorEastAsia" w:hAnsiTheme="minorHAnsi" w:cstheme="minorBidi"/>
          <w:noProof/>
          <w:color w:val="auto"/>
          <w:kern w:val="2"/>
          <w:sz w:val="24"/>
          <w:szCs w:val="24"/>
          <w14:ligatures w14:val="standardContextual"/>
        </w:rPr>
      </w:pPr>
      <w:hyperlink w:anchor="_Toc201571406" w:history="1">
        <w:r>
          <w:rPr>
            <w:rStyle w:val="Hyperlink"/>
            <w:noProof/>
          </w:rPr>
          <w:t>Heat pumps in Moldova</w:t>
        </w:r>
        <w:r>
          <w:rPr>
            <w:noProof/>
            <w:webHidden/>
          </w:rPr>
          <w:tab/>
        </w:r>
        <w:r>
          <w:rPr>
            <w:noProof/>
            <w:webHidden/>
          </w:rPr>
          <w:fldChar w:fldCharType="begin"/>
        </w:r>
        <w:r>
          <w:rPr>
            <w:noProof/>
            <w:webHidden/>
          </w:rPr>
          <w:instrText xml:space="preserve"> PAGEREF _Toc201571406 \h </w:instrText>
        </w:r>
        <w:r>
          <w:rPr>
            <w:noProof/>
            <w:webHidden/>
          </w:rPr>
        </w:r>
        <w:r>
          <w:rPr>
            <w:noProof/>
            <w:webHidden/>
          </w:rPr>
          <w:fldChar w:fldCharType="separate"/>
        </w:r>
        <w:r>
          <w:rPr>
            <w:noProof/>
            <w:webHidden/>
          </w:rPr>
          <w:t>23</w:t>
        </w:r>
        <w:r>
          <w:rPr>
            <w:noProof/>
            <w:webHidden/>
          </w:rPr>
          <w:fldChar w:fldCharType="end"/>
        </w:r>
      </w:hyperlink>
    </w:p>
    <w:p w14:paraId="4DFDF912" w14:textId="40889208" w:rsidR="007D2814" w:rsidRDefault="00DD102F">
      <w:pPr>
        <w:pStyle w:val="TOC2"/>
        <w:rPr>
          <w:rFonts w:asciiTheme="minorHAnsi" w:eastAsiaTheme="minorEastAsia" w:hAnsiTheme="minorHAnsi" w:cstheme="minorBidi"/>
          <w:noProof/>
          <w:color w:val="auto"/>
          <w:kern w:val="2"/>
          <w:sz w:val="24"/>
          <w:szCs w:val="24"/>
          <w14:ligatures w14:val="standardContextual"/>
        </w:rPr>
      </w:pPr>
      <w:hyperlink w:anchor="_Toc201571407" w:history="1">
        <w:r>
          <w:rPr>
            <w:rStyle w:val="Hyperlink"/>
            <w:noProof/>
          </w:rPr>
          <w:t>Building the market</w:t>
        </w:r>
        <w:r>
          <w:rPr>
            <w:noProof/>
            <w:webHidden/>
          </w:rPr>
          <w:tab/>
        </w:r>
        <w:r>
          <w:rPr>
            <w:noProof/>
            <w:webHidden/>
          </w:rPr>
          <w:fldChar w:fldCharType="begin"/>
        </w:r>
        <w:r>
          <w:rPr>
            <w:noProof/>
            <w:webHidden/>
          </w:rPr>
          <w:instrText xml:space="preserve"> PAGEREF _Toc201571407 \h </w:instrText>
        </w:r>
        <w:r>
          <w:rPr>
            <w:noProof/>
            <w:webHidden/>
          </w:rPr>
        </w:r>
        <w:r>
          <w:rPr>
            <w:noProof/>
            <w:webHidden/>
          </w:rPr>
          <w:fldChar w:fldCharType="separate"/>
        </w:r>
        <w:r>
          <w:rPr>
            <w:noProof/>
            <w:webHidden/>
          </w:rPr>
          <w:t>33</w:t>
        </w:r>
        <w:r>
          <w:rPr>
            <w:noProof/>
            <w:webHidden/>
          </w:rPr>
          <w:fldChar w:fldCharType="end"/>
        </w:r>
      </w:hyperlink>
    </w:p>
    <w:p w14:paraId="2348FBD6" w14:textId="746EF3C5" w:rsidR="007D2814" w:rsidRDefault="00DD102F">
      <w:pPr>
        <w:pStyle w:val="TOC2"/>
        <w:rPr>
          <w:rFonts w:asciiTheme="minorHAnsi" w:eastAsiaTheme="minorEastAsia" w:hAnsiTheme="minorHAnsi" w:cstheme="minorBidi"/>
          <w:noProof/>
          <w:color w:val="auto"/>
          <w:kern w:val="2"/>
          <w:sz w:val="24"/>
          <w:szCs w:val="24"/>
          <w14:ligatures w14:val="standardContextual"/>
        </w:rPr>
      </w:pPr>
      <w:hyperlink w:anchor="_Toc201571408" w:history="1">
        <w:r>
          <w:rPr>
            <w:rStyle w:val="Hyperlink"/>
            <w:noProof/>
          </w:rPr>
          <w:t>Financing the transition</w:t>
        </w:r>
        <w:r>
          <w:rPr>
            <w:noProof/>
            <w:webHidden/>
          </w:rPr>
          <w:tab/>
        </w:r>
        <w:r>
          <w:rPr>
            <w:noProof/>
            <w:webHidden/>
          </w:rPr>
          <w:fldChar w:fldCharType="begin"/>
        </w:r>
        <w:r>
          <w:rPr>
            <w:noProof/>
            <w:webHidden/>
          </w:rPr>
          <w:instrText xml:space="preserve"> PAGEREF _Toc201571408 \h </w:instrText>
        </w:r>
        <w:r>
          <w:rPr>
            <w:noProof/>
            <w:webHidden/>
          </w:rPr>
        </w:r>
        <w:r>
          <w:rPr>
            <w:noProof/>
            <w:webHidden/>
          </w:rPr>
          <w:fldChar w:fldCharType="separate"/>
        </w:r>
        <w:r>
          <w:rPr>
            <w:noProof/>
            <w:webHidden/>
          </w:rPr>
          <w:t>42</w:t>
        </w:r>
        <w:r>
          <w:rPr>
            <w:noProof/>
            <w:webHidden/>
          </w:rPr>
          <w:fldChar w:fldCharType="end"/>
        </w:r>
      </w:hyperlink>
    </w:p>
    <w:p w14:paraId="41F2017B" w14:textId="66F9001D" w:rsidR="007D2814" w:rsidRDefault="00DD102F">
      <w:pPr>
        <w:pStyle w:val="TOC2"/>
        <w:rPr>
          <w:rFonts w:asciiTheme="minorHAnsi" w:eastAsiaTheme="minorEastAsia" w:hAnsiTheme="minorHAnsi" w:cstheme="minorBidi"/>
          <w:noProof/>
          <w:color w:val="auto"/>
          <w:kern w:val="2"/>
          <w:sz w:val="24"/>
          <w:szCs w:val="24"/>
          <w14:ligatures w14:val="standardContextual"/>
        </w:rPr>
      </w:pPr>
      <w:hyperlink w:anchor="_Toc201571409" w:history="1">
        <w:r>
          <w:rPr>
            <w:rStyle w:val="Hyperlink"/>
            <w:noProof/>
          </w:rPr>
          <w:t>Regulating the sector</w:t>
        </w:r>
        <w:r>
          <w:rPr>
            <w:noProof/>
            <w:webHidden/>
          </w:rPr>
          <w:tab/>
        </w:r>
        <w:r>
          <w:rPr>
            <w:noProof/>
            <w:webHidden/>
          </w:rPr>
          <w:fldChar w:fldCharType="begin"/>
        </w:r>
        <w:r>
          <w:rPr>
            <w:noProof/>
            <w:webHidden/>
          </w:rPr>
          <w:instrText xml:space="preserve"> PAGEREF _Toc201571409 \h </w:instrText>
        </w:r>
        <w:r>
          <w:rPr>
            <w:noProof/>
            <w:webHidden/>
          </w:rPr>
        </w:r>
        <w:r>
          <w:rPr>
            <w:noProof/>
            <w:webHidden/>
          </w:rPr>
          <w:fldChar w:fldCharType="separate"/>
        </w:r>
        <w:r>
          <w:rPr>
            <w:noProof/>
            <w:webHidden/>
          </w:rPr>
          <w:t>48</w:t>
        </w:r>
        <w:r>
          <w:rPr>
            <w:noProof/>
            <w:webHidden/>
          </w:rPr>
          <w:fldChar w:fldCharType="end"/>
        </w:r>
      </w:hyperlink>
    </w:p>
    <w:p w14:paraId="7C2FA31F" w14:textId="2DCB6D17" w:rsidR="007D2814" w:rsidRDefault="00DD102F">
      <w:pPr>
        <w:pStyle w:val="TOC2"/>
        <w:rPr>
          <w:rFonts w:asciiTheme="minorHAnsi" w:eastAsiaTheme="minorEastAsia" w:hAnsiTheme="minorHAnsi" w:cstheme="minorBidi"/>
          <w:noProof/>
          <w:color w:val="auto"/>
          <w:kern w:val="2"/>
          <w:sz w:val="24"/>
          <w:szCs w:val="24"/>
          <w14:ligatures w14:val="standardContextual"/>
        </w:rPr>
      </w:pPr>
      <w:hyperlink w:anchor="_Toc201571410" w:history="1">
        <w:r>
          <w:rPr>
            <w:rStyle w:val="Hyperlink"/>
            <w:noProof/>
          </w:rPr>
          <w:t>A pathway for heat pumps</w:t>
        </w:r>
        <w:r>
          <w:rPr>
            <w:noProof/>
            <w:webHidden/>
          </w:rPr>
          <w:tab/>
        </w:r>
        <w:r>
          <w:rPr>
            <w:noProof/>
            <w:webHidden/>
          </w:rPr>
          <w:fldChar w:fldCharType="begin"/>
        </w:r>
        <w:r>
          <w:rPr>
            <w:noProof/>
            <w:webHidden/>
          </w:rPr>
          <w:instrText xml:space="preserve"> PAGEREF _Toc201571410 \h </w:instrText>
        </w:r>
        <w:r>
          <w:rPr>
            <w:noProof/>
            <w:webHidden/>
          </w:rPr>
        </w:r>
        <w:r>
          <w:rPr>
            <w:noProof/>
            <w:webHidden/>
          </w:rPr>
          <w:fldChar w:fldCharType="separate"/>
        </w:r>
        <w:r>
          <w:rPr>
            <w:noProof/>
            <w:webHidden/>
          </w:rPr>
          <w:t>51</w:t>
        </w:r>
        <w:r>
          <w:rPr>
            <w:noProof/>
            <w:webHidden/>
          </w:rPr>
          <w:fldChar w:fldCharType="end"/>
        </w:r>
      </w:hyperlink>
    </w:p>
    <w:p w14:paraId="4A91DB7D" w14:textId="4F8862B8" w:rsidR="007D2814" w:rsidRDefault="00DD102F">
      <w:pPr>
        <w:pStyle w:val="TOC2"/>
        <w:rPr>
          <w:rFonts w:asciiTheme="minorHAnsi" w:eastAsiaTheme="minorEastAsia" w:hAnsiTheme="minorHAnsi" w:cstheme="minorBidi"/>
          <w:noProof/>
          <w:color w:val="auto"/>
          <w:kern w:val="2"/>
          <w:sz w:val="24"/>
          <w:szCs w:val="24"/>
          <w14:ligatures w14:val="standardContextual"/>
        </w:rPr>
      </w:pPr>
      <w:hyperlink w:anchor="_Toc201571411" w:history="1">
        <w:r>
          <w:rPr>
            <w:rStyle w:val="Hyperlink"/>
            <w:noProof/>
          </w:rPr>
          <w:t>Annex</w:t>
        </w:r>
        <w:r>
          <w:rPr>
            <w:noProof/>
            <w:webHidden/>
          </w:rPr>
          <w:tab/>
        </w:r>
        <w:r>
          <w:rPr>
            <w:noProof/>
            <w:webHidden/>
          </w:rPr>
          <w:fldChar w:fldCharType="begin"/>
        </w:r>
        <w:r>
          <w:rPr>
            <w:noProof/>
            <w:webHidden/>
          </w:rPr>
          <w:instrText xml:space="preserve"> PAGEREF _Toc201571411 \h </w:instrText>
        </w:r>
        <w:r>
          <w:rPr>
            <w:noProof/>
            <w:webHidden/>
          </w:rPr>
        </w:r>
        <w:r>
          <w:rPr>
            <w:noProof/>
            <w:webHidden/>
          </w:rPr>
          <w:fldChar w:fldCharType="separate"/>
        </w:r>
        <w:r>
          <w:rPr>
            <w:noProof/>
            <w:webHidden/>
          </w:rPr>
          <w:t>52</w:t>
        </w:r>
        <w:r>
          <w:rPr>
            <w:noProof/>
            <w:webHidden/>
          </w:rPr>
          <w:fldChar w:fldCharType="end"/>
        </w:r>
      </w:hyperlink>
    </w:p>
    <w:p w14:paraId="003E7D5F" w14:textId="589E34BB" w:rsidR="007D2814" w:rsidRDefault="00DD102F">
      <w:r>
        <w:fldChar w:fldCharType="end"/>
      </w:r>
    </w:p>
    <w:p w14:paraId="648775BC" w14:textId="77777777" w:rsidR="007D2814" w:rsidRDefault="007D2814"/>
    <w:bookmarkEnd w:id="33"/>
    <w:p w14:paraId="51F114D6" w14:textId="77777777" w:rsidR="007D2814" w:rsidRDefault="007D2814"/>
    <w:p w14:paraId="6EE99DD8" w14:textId="77777777" w:rsidR="007D2814" w:rsidRDefault="007D2814">
      <w:pPr>
        <w:sectPr w:rsidR="007D2814" w:rsidSect="00217C4D">
          <w:headerReference w:type="even" r:id="rId19"/>
          <w:headerReference w:type="default" r:id="rId20"/>
          <w:endnotePr>
            <w:numFmt w:val="decimal"/>
            <w:numRestart w:val="eachSect"/>
          </w:endnotePr>
          <w:pgSz w:w="11906" w:h="16838" w:code="9"/>
          <w:pgMar w:top="1588" w:right="1588" w:bottom="1588" w:left="1588" w:header="709" w:footer="709" w:gutter="0"/>
          <w:cols w:space="708"/>
          <w:docGrid w:linePitch="360"/>
        </w:sectPr>
      </w:pPr>
    </w:p>
    <w:p w14:paraId="13595A1D" w14:textId="7AA0D88E" w:rsidR="007D2814" w:rsidRDefault="00DD102F">
      <w:pPr>
        <w:pStyle w:val="Heading2"/>
      </w:pPr>
      <w:bookmarkStart w:id="38" w:name="_Toc201571403"/>
      <w:r>
        <w:lastRenderedPageBreak/>
        <w:t>Sinteză</w:t>
      </w:r>
      <w:bookmarkEnd w:id="34"/>
      <w:bookmarkEnd w:id="35"/>
      <w:bookmarkEnd w:id="36"/>
      <w:bookmarkEnd w:id="37"/>
      <w:bookmarkEnd w:id="38"/>
    </w:p>
    <w:p w14:paraId="3C361407" w14:textId="71AA041A" w:rsidR="007D2814" w:rsidRDefault="00DD102F">
      <w:pPr>
        <w:pStyle w:val="IEABodyText"/>
      </w:pPr>
      <w:r>
        <w:t>Noul Plan național</w:t>
      </w:r>
      <w:r w:rsidR="00B955FC">
        <w:t xml:space="preserve"> integrat</w:t>
      </w:r>
      <w:r>
        <w:t xml:space="preserve"> privind energia și clima (PNEC) al </w:t>
      </w:r>
      <w:r w:rsidR="00B955FC">
        <w:t xml:space="preserve">Republicii </w:t>
      </w:r>
      <w:r>
        <w:t>Moldov</w:t>
      </w:r>
      <w:r w:rsidR="00B955FC">
        <w:t>a</w:t>
      </w:r>
      <w:r>
        <w:t xml:space="preserve"> stabilește ambiția țării de a îmbunătăți eficiența energetică, de a reduce cererea de combustibili fosili și de a-și decarboniza economia. Clădirile reprezintă mai mult de jumătate din consumul final de energie al Moldovei, trei sferturi din acesta fiind utilizat pentru încălzirea spațiilor și a apei. În prezent, aceste nevoi sunt satisfăcute în principal de gazele naturale importate și de biomasa internă – două surse de combustibil care suferă din cauza problemelor legate de disponibilitate și durabilitate. Tehnologia pompelor de căldură oferă Moldovei un mijloc eficient de accelerare a tranziției în încălzirea clădirilor. Această foaie de parcurs analizează situația sectorului încălzirii din Moldova, potențialul de instalare a pompelor de căldură și principalele recomandări de politică pentru crearea și menținerea unui sector stabil al pompelor de căldură.</w:t>
      </w:r>
    </w:p>
    <w:p w14:paraId="01AB3301" w14:textId="77777777" w:rsidR="007D2814" w:rsidRDefault="00DD102F">
      <w:pPr>
        <w:pStyle w:val="Heading4"/>
      </w:pPr>
      <w:r>
        <w:t>Consolidarea securității energetice, îmbunătățind în același timp eficiența, reducând utilizarea gazelor naturale și acționând în direcția aderării la Uniunea Europeană</w:t>
      </w:r>
    </w:p>
    <w:p w14:paraId="75A1EB8F" w14:textId="5671A536" w:rsidR="007D2814" w:rsidRDefault="00DD102F">
      <w:pPr>
        <w:pStyle w:val="IEABodyText"/>
      </w:pPr>
      <w:r>
        <w:t xml:space="preserve">Pompele de căldură oferă beneficii multiple. Prin punerea în aplicare a recomandărilor de politică prezentate în această foaie de parcurs, Moldova poate construi un sector al pompelor de căldură care să consolideze securitatea energetică, să îmbunătățească eficiența, să reducă emisiile de gaze cu efect de seră și poluarea aerului, să sprijine dezvoltarea economică și să reducă sărăcia energetică – toate acestea avansând în același timp către obiectivul aderării la Uniunea Europeană. </w:t>
      </w:r>
    </w:p>
    <w:p w14:paraId="1642BF40" w14:textId="7FD2DFB6" w:rsidR="007D2814" w:rsidRDefault="00DD102F">
      <w:pPr>
        <w:pStyle w:val="IEABodyText"/>
      </w:pPr>
      <w:r>
        <w:t xml:space="preserve">Moldova nu dispune de resurse interne de hidrocarburi și importă mai mult de 80% din energia sa primară. Asigurarea unei aprovizionări fiabile cu gaze naturale și energie electrică a fost mult timp principala sa provocare în materie de securitate energetică. Înlocuirea tehnologiilor de încălzire pe bază de gaze naturale cu pompe de căldură ar îmbunătăți securitatea energetică a țării. Extinderea recentă a capacității solare și eoliene a Moldovei înseamnă, de asemenea, că pompele de căldură pot juca acum un rol mai important în reducerea emisiilor de gaze cu efect de seră și în reducerea poluării aerului la nivel local. În cele din urmă, referendumul din 2024 din Republica Moldova, care aprobă obiectivul aderării la Uniunea Europeană, subliniază angajamentul țării față de integrarea europeană. Evidențierea unei căi eficiente de decarbonizare a consumului de energie este o </w:t>
      </w:r>
      <w:r>
        <w:lastRenderedPageBreak/>
        <w:t>condiție prealabilă pentru aderarea la bloc, iar pompele de căldură pot juca un rol central în acest sens.</w:t>
      </w:r>
    </w:p>
    <w:p w14:paraId="19AFBDD7" w14:textId="77777777" w:rsidR="007D2814" w:rsidRDefault="00DD102F">
      <w:pPr>
        <w:pStyle w:val="Heading4"/>
      </w:pPr>
      <w:r>
        <w:t>Depășirea barierelor din calea adoptării pompelor de căldură</w:t>
      </w:r>
    </w:p>
    <w:p w14:paraId="2E93802B" w14:textId="532FF48C" w:rsidR="007D2814" w:rsidRDefault="00DD102F">
      <w:pPr>
        <w:pStyle w:val="IEABodyText"/>
      </w:pPr>
      <w:r>
        <w:t>Moldova se confruntă cu mai multe obstacole notabile în calea adoptării pompelor de căldură – multe dintre acestea reflectând provocările observate în țările cu piețe mai mature. Aceste obstacole includ costurile inițiale ridicate ale tehnologiei și instalării pompelor de căldură, alături de experiența și amploarea limitată a industriei. Parcul imobiliar în general ineficient al țării riscă să estompeze unele dintre beneficiile pompelor de căldură, deoarece acest lucru poate reduce economiile de costuri cu energia și poate tensiona rețeaua slabă de energie electrică a Moldovei. În zonele rurale, dependența puternică de biomasa locală ieftină pentru încălzire prezintă riscuri semnificative pentru sănătatea publică și pentru mediu. Sensibilizarea publicului și cererea de pompe de căldură rămân scăzute, mulți consumatori fiind descurajați de preocupările legate de costuri și întreținere.</w:t>
      </w:r>
    </w:p>
    <w:p w14:paraId="10EF3469" w14:textId="77777777" w:rsidR="007D2814" w:rsidRDefault="00DD102F">
      <w:pPr>
        <w:pStyle w:val="IEABodyText"/>
      </w:pPr>
      <w:r>
        <w:t xml:space="preserve">Printre provocările suplimentare se numără nivelurile ridicate de sărăcie energetică și o infrastructură fragilă de energie electrică, ambele trebuind să fie abordate prin orice strategie de încălzire. Nevoile termice ale comunităților urbane și rurale sunt, de asemenea, foarte diferite, astfel încât orice instalare a pompelor de căldură trebuie să țină seama de acest decalaj, evitând în același timp creșterea dificultăților pentru grupurile vulnerabile. În plus, există un deficit de tehnicieni moldoveni care au fost instruiți în instalarea și întreținerea pompelor de căldură. Toate aceste bariere sunt interconectate; abordarea timpurie a acestora – ghidată de recomandările de politică din prezenta foaie de parcurs – oferă Moldovei o oportunitate strategică de a accelera progresele. </w:t>
      </w:r>
    </w:p>
    <w:p w14:paraId="43BA4BD4" w14:textId="77777777" w:rsidR="007D2814" w:rsidRDefault="00DD102F">
      <w:pPr>
        <w:pStyle w:val="Heading4"/>
      </w:pPr>
      <w:r>
        <w:t xml:space="preserve">Construirea unei piețe durabile și echitabile a pompelor de căldură </w:t>
      </w:r>
    </w:p>
    <w:p w14:paraId="7D9945A1" w14:textId="60DBECB8" w:rsidR="007D2814" w:rsidRDefault="00DD102F">
      <w:pPr>
        <w:pStyle w:val="IEABodyText"/>
      </w:pPr>
      <w:r>
        <w:t xml:space="preserve">Foaia noastră de parcurs pentru extinderea pompelor de căldură prezintă o strategie etapizată care implică coordonarea între mai multe ministere. Printre principalele acțiuni de politică programate să înceapă în 2025 pentru Ministerul Energiei (ENER) se numără elaborarea unei strategii naționale de încălzire și răcire, clarificarea rolului pompelor de căldură în obiectivele privind energia din surse regenerabile, solicitarea unor planuri locale de încălzire și actualizarea Legii privind energia din surse regenerabile. ENER are, de asemenea, sarcina de a adopta o strategie de renovare a clădirilor pe termen lung și de a alinia normele naționale de performanță energetică la directivele Uniunii Europene. Aceste </w:t>
      </w:r>
      <w:r>
        <w:lastRenderedPageBreak/>
        <w:t>măsuri timpurii sunt esențiale pentru integrarea pompelor de căldură în cadrul mai larg de decarbonizare al Moldovei.</w:t>
      </w:r>
    </w:p>
    <w:p w14:paraId="0313C8FE" w14:textId="6EAC586C" w:rsidR="007D2814" w:rsidRDefault="00DD102F">
      <w:pPr>
        <w:pStyle w:val="IEABodyText"/>
      </w:pPr>
      <w:r>
        <w:t>Ar trebui să se acorde prioritate comunicării și consolidării capacităților încă de la început, ENER preluând inițiativa unor inițiative precum campaniile de sensibilizare a publicului, formarea funcționarilor guvernamentali și platformele părților interesate pentru a promova dialogul dintre cetățeni și industrie. Responsabilitatea pentru acțiunile de consolidare a pieței este partajată între agenții: ajustările fiscale și de reglementare sunt gestionate de Agenția Națională pentru Reglementare în Energ</w:t>
      </w:r>
      <w:r w:rsidR="008F78E4">
        <w:t>etic</w:t>
      </w:r>
      <w:r w:rsidR="008F78E4">
        <w:rPr>
          <w:lang w:val="ro-MD"/>
        </w:rPr>
        <w:t>ă</w:t>
      </w:r>
      <w:r>
        <w:t xml:space="preserve"> (ANRE), în timp ce Ministerul Mediului (</w:t>
      </w:r>
      <w:r w:rsidR="004A21AC">
        <w:t>MM</w:t>
      </w:r>
      <w:r>
        <w:t>) este însărcinat cu încurajarea electrificării și descurajarea utilizării combustibililor fosili. Între timp, Ministerul Infrastructurii și Dezvoltării Regionale (M</w:t>
      </w:r>
      <w:r w:rsidR="004A21AC">
        <w:t>IDR</w:t>
      </w:r>
      <w:r>
        <w:t>) și ENER ar trebui să promoveze extinderea producției interne și formarea instalatorilor. Astfel de eforturi coordonate pot contribui la reducerea barierelor atât pentru consumatori, cât și pentru industria pompelor de căldură.</w:t>
      </w:r>
    </w:p>
    <w:p w14:paraId="7EA92B82" w14:textId="6179E9D3" w:rsidR="007D2814" w:rsidRDefault="00DD102F">
      <w:pPr>
        <w:pStyle w:val="IEABodyText"/>
      </w:pPr>
      <w:r>
        <w:t xml:space="preserve">Începând din 2030, foaia de parcurs se axează pe măsuri de reglementare. Moldova ar putea dori să ia în considerare restricții privind sistemele de încălzire pe bază de combustibili fosili în clădirile noi și existente, în conformitate cu Directiva Uniunii Europene privind performanța energetică a clădirilor (EPBD). Printre măsurile pe termen lung se numără îmbunătățirea colectării datelor de către Biroul Național de Statistică și luarea în considerare a unor restricții suplimentare privind biomasa în zonele urbane. În general, calendarul reflectă o înăsprire treptată a reglementărilor, alături de un sprijin financiar sporit pentru a promova un mediu favorabil adoptării pe scară largă a pompelor de căldură. </w:t>
      </w:r>
    </w:p>
    <w:p w14:paraId="5D200E21" w14:textId="70154275" w:rsidR="007D2814" w:rsidRDefault="00DD102F">
      <w:pPr>
        <w:pStyle w:val="IEABodyText"/>
      </w:pPr>
      <w:r>
        <w:t>Această foaie de parcurs face bilanțul peisajului actual, se bazează pe experiența altor țări și oferă recomandări de politică pentru a declanșa o discuție și a promova adoptarea pompelor de căldură în Moldova – un proces care este în curs de desfășurare. Deciziile privind prioritățile politice și responsabilitatea ministerială sunt lăsate la latitudinea Republicii Moldova. Această foaie de parcurs este menită să contribuie la dezbaterea mai amplă privind pompele de căldură în rândul factorilor de decizie politică și al experților din Republica Moldova care doresc să accelereze adoptarea pompelor de căldură.</w:t>
      </w:r>
    </w:p>
    <w:p w14:paraId="76F23F58" w14:textId="77777777" w:rsidR="007D2814" w:rsidRDefault="007D2814"/>
    <w:p w14:paraId="30BCB3CA" w14:textId="5C37B12B" w:rsidR="007D2814" w:rsidRDefault="00DD102F">
      <w:r>
        <w:br w:type="page"/>
      </w:r>
    </w:p>
    <w:p w14:paraId="7204909A" w14:textId="77777777" w:rsidR="007D2814" w:rsidRDefault="007D2814">
      <w:pPr>
        <w:pStyle w:val="Heading2"/>
        <w:sectPr w:rsidR="007D2814" w:rsidSect="005254E8">
          <w:headerReference w:type="even" r:id="rId21"/>
          <w:headerReference w:type="default" r:id="rId22"/>
          <w:endnotePr>
            <w:numFmt w:val="decimal"/>
            <w:numRestart w:val="eachSect"/>
          </w:endnotePr>
          <w:pgSz w:w="11906" w:h="16838" w:code="9"/>
          <w:pgMar w:top="1588" w:right="1588" w:bottom="1588" w:left="1588" w:header="709" w:footer="709" w:gutter="0"/>
          <w:cols w:space="708"/>
          <w:docGrid w:linePitch="360"/>
        </w:sectPr>
      </w:pPr>
    </w:p>
    <w:p w14:paraId="14ACE203" w14:textId="60B97A1E" w:rsidR="007D2814" w:rsidRDefault="00DD102F">
      <w:pPr>
        <w:pStyle w:val="Heading2"/>
      </w:pPr>
      <w:bookmarkStart w:id="39" w:name="_Toc201571404"/>
      <w:r>
        <w:lastRenderedPageBreak/>
        <w:t>Introducere</w:t>
      </w:r>
      <w:bookmarkEnd w:id="39"/>
    </w:p>
    <w:p w14:paraId="7991E120" w14:textId="7295C8DB" w:rsidR="007D2814" w:rsidRDefault="00DD102F">
      <w:pPr>
        <w:pStyle w:val="IEABodyText"/>
      </w:pPr>
      <w:r>
        <w:t>Pe măsură ce Moldova dorește să își decarbonizeze sectorul energetic, încălzirea reprezintă atât o provocare critică, cât și o oportunitate promițătoare. Consumul de energie în clădiri cons</w:t>
      </w:r>
      <w:r w:rsidR="008F78E4">
        <w:t xml:space="preserve">tituie </w:t>
      </w:r>
      <w:r>
        <w:t xml:space="preserve">cea mai mare parte a consumului final total </w:t>
      </w:r>
      <w:r w:rsidR="008F78E4">
        <w:t xml:space="preserve">de energie </w:t>
      </w:r>
      <w:r>
        <w:t>din Moldova, în jur de 53%. O mare parte din energie este utilizată pentru încălzirea spațiilor și a apei, reprezentând peste 40 % din cererea finală de energie a țării. Dependența sa actuală de resursele importate și cu emisii ridicate de dioxid de carbon subliniază necesitatea unei tranziții către soluții mai durabile și mai sigure. Deși joacă în prezent un rol neglijabil, pompele de căldură – care utilizează energie din surse regenerabile pentru a asigura încălzirea și răcirea eficientă – oferă o cale de abordare a obiectivelor energetice și de mediu ale Moldovei, stimulând în același timp creșterea economică și energia la prețuri accesibile.</w:t>
      </w:r>
    </w:p>
    <w:p w14:paraId="1B4991A6" w14:textId="77777777" w:rsidR="007D2814" w:rsidRDefault="00DD102F">
      <w:pPr>
        <w:pStyle w:val="IEABodyText"/>
      </w:pPr>
      <w:r>
        <w:t xml:space="preserve">În lipsa unei producții interne proprii de combustibili fosili, peisajul energetic al Moldovei este modelat de această dependență de gazele naturale importate și de utilizarea pe scară largă a biomasei locale, în special în zonele rurale. Acest lucru ridică provocări unice: importurile de gaze naturale sunt supuse unor riscuri geopolitice și economice, în timp ce utilizarea nesustenabilă a biomasei poate contribui la provocările ecologice și la poluarea atmosferică locală. Acești factori subliniază necesitatea unor tehnologii moderne și durabile de încălzire. </w:t>
      </w:r>
    </w:p>
    <w:p w14:paraId="706550F6" w14:textId="77777777" w:rsidR="007D2814" w:rsidRDefault="00DD102F">
      <w:pPr>
        <w:pStyle w:val="IEABodyText"/>
      </w:pPr>
      <w:r>
        <w:t>Pompele de căldură oferă o gamă largă de servicii, de la furnizarea de încălzire a spațiilor rezidențiale, răcire și apă caldă până la încălzirea centralizată a blocurilor de apartamente și a rețelelor de termoficare. Dezvoltarea unui sector robust al pompelor de căldură ar putea ajuta Moldova să reducă importurile de energie, să îmbunătățească eficiența energetică, să reducă facturile la energie și să stimuleze dezvoltarea economică locală și locurile de muncă prin producție și instalare. Un cadru de politică cuprinzător care să ia în considerare strategia energetică globală a Moldovei, să comunice în mod eficace cu publicul, să sprijine financiar industria și să ofere semnale de reglementare adecvate ar putea oferi Moldovei un sector al încălzirii sigur, cu emisii scăzute de dioxid de carbon.</w:t>
      </w:r>
    </w:p>
    <w:p w14:paraId="79DFEE64" w14:textId="33344136" w:rsidR="007D2814" w:rsidRDefault="00DD102F">
      <w:pPr>
        <w:pStyle w:val="IEABodyText"/>
      </w:pPr>
      <w:r>
        <w:t>Decarbonizarea sectorului energetic este o prioritate politică pentru Moldova, iar țara ia măsuri proactive. Planul său național</w:t>
      </w:r>
      <w:r w:rsidR="004A21AC">
        <w:t xml:space="preserve"> integrat</w:t>
      </w:r>
      <w:r>
        <w:t xml:space="preserve"> privind energia și clima, aprobat la sfârșitul lunii februarie 2025, stabilește obiective naționale privind energia din surse regenerabile, eficiența energetică și emisiile de gaze cu efect de seră.</w:t>
      </w:r>
      <w:r>
        <w:rPr>
          <w:color w:val="FF0000"/>
        </w:rPr>
        <w:t xml:space="preserve"> </w:t>
      </w:r>
      <w:r w:rsidRPr="004A21AC">
        <w:rPr>
          <w:color w:val="auto"/>
        </w:rPr>
        <w:t xml:space="preserve">Pompele de </w:t>
      </w:r>
      <w:r>
        <w:t xml:space="preserve">căldură pot sprijini progresul către aceste obiective, avansând în continuare Moldova către obiectivele sale mai largi de integrare și aderare la UE. </w:t>
      </w:r>
    </w:p>
    <w:p w14:paraId="1EC96A71" w14:textId="7AA366C1" w:rsidR="007D2814" w:rsidRDefault="00DD102F">
      <w:pPr>
        <w:pStyle w:val="IEABodyText"/>
      </w:pPr>
      <w:r>
        <w:lastRenderedPageBreak/>
        <w:t>Guvernul Republicii Moldova a luat notă recent de beneficiile pompelor de căldură, iar acest interes vine într-un moment oportun. Începând din 2022, provocările energetice din regiune s-au ridicat în prim-plan. O dependență semnificativă de gazele naturale din Federația Rusă (denumită în continuare „Rusia”) a devenit o vulnerabilitate din ce în ce mai mare, pe măsură ce ostilitățile s-au intensificat. La sfârșitul lunii decembrie 2024, decizia Ucrainei de a nu-și reînnoi acordul de tranzit al gazelor cu Gazprom, compania de stat rusă de gaze, a dus la o reducere drastică a aprovizionării cu gaze a regiunii separatiste Transnistria.</w:t>
      </w:r>
      <w:r>
        <w:rPr>
          <w:rStyle w:val="FootnoteReference"/>
        </w:rPr>
        <w:footnoteReference w:id="2"/>
      </w:r>
      <w:r>
        <w:t xml:space="preserve"> Situată pe malul stâng al Nistrului, Transnistria s-a bazat istoric pe gazul rusesc liber. De asemenea, aici se află cea mai mare centrală electrică din Moldova, care funcționează în principal cu gaz rusesc. </w:t>
      </w:r>
    </w:p>
    <w:p w14:paraId="30052B1F" w14:textId="77777777" w:rsidR="007D2814" w:rsidRDefault="00DD102F">
      <w:pPr>
        <w:pStyle w:val="IEABodyText"/>
      </w:pPr>
      <w:r>
        <w:t xml:space="preserve">Acest lucru a avut repercusiuni politice notabile pentru Moldova, deoarece locuitorii Transnistriei s-au confruntat cu o criză: zeci de mii de persoane au rămas fără gaze pentru încălzire sau apă caldă, iar cea mai mare centrală electrică din țară a trebuit să treacă la rezerve temporare de cărbune pentru a menține producția de energie electrică. Țara a răspuns prin asigurarea aprovizionării alternative cu gaze și a stabilit un plan de reducere a cererii de energie cu cel puțin o treime. De asemenea, a elaborat o strategie de compensare a unei părți din deficitul de energie electrică prin achiziții din România. </w:t>
      </w:r>
    </w:p>
    <w:p w14:paraId="51541555" w14:textId="33557D1D" w:rsidR="007D2814" w:rsidRDefault="00DD102F">
      <w:pPr>
        <w:pStyle w:val="IEABodyText"/>
      </w:pPr>
      <w:r>
        <w:t>În ultimii ani, Moldova și-a redus treptat dependența de gazele naturale rusești, prin proiecte precum o nouă conductă către România. Cu toate acestea, aceste eforturi s-au concentrat în mare măsură pe diversificarea aprovizionării cu energie, mai degrabă decât pe reducerea consumului de gaze</w:t>
      </w:r>
      <w:r w:rsidR="008F78E4">
        <w:t xml:space="preserve"> naturale</w:t>
      </w:r>
      <w:r>
        <w:t xml:space="preserve"> – un efort care ar putea fi sprijinit de îmbunătățirea eficienței energetice și de dezvoltarea unor surse alternative de căldură, cum ar fi pompele de căldură.</w:t>
      </w:r>
    </w:p>
    <w:p w14:paraId="21C34C40" w14:textId="0EE46865" w:rsidR="007D2814" w:rsidRDefault="00DD102F">
      <w:pPr>
        <w:pStyle w:val="IEABodyText"/>
      </w:pPr>
      <w:r>
        <w:t xml:space="preserve">La momentul </w:t>
      </w:r>
      <w:r w:rsidR="008F78E4">
        <w:t>elaborării</w:t>
      </w:r>
      <w:r>
        <w:t xml:space="preserve"> prezentului document, situația rămâne nerezolvată. Cu toate acestea, incertitudinea din ultimii trei ani și rolul său în alimentarea tensiunilor politice interne sunt de natură să întărească urgența ca Moldova să își reducă dependența de gazele naturale rusești. Acest raport explorează modul în care pompele de căldură pot sprijini acest obiectiv. Documentul a fost</w:t>
      </w:r>
      <w:r w:rsidR="008F78E4">
        <w:t xml:space="preserve"> elaborat</w:t>
      </w:r>
      <w:r>
        <w:t xml:space="preserve"> în principal pentru factorii de decizie din Republica Moldova – atât la nivel local, cât și la nivel național. Cu toate acestea, poate fi, de asemenea, de interes pentru alte părți interesate din interiorul și din afara țării. Raportul începe cu descrierea peisajului energetic din Moldova. Acesta detaliază apoi beneficiile pompelor de căldură și aplicabilitatea acestora în Moldova, urmate de secțiuni care explorează sprijinul politic existent al țării pentru pompele de căldură și de recomandări în ceea ce privește piața, industria, finanțele și reglementarea. Aceasta se încheie </w:t>
      </w:r>
      <w:r>
        <w:lastRenderedPageBreak/>
        <w:t xml:space="preserve">cu o foaie de parcurs politică care stabilește prioritățile pentru perioada 2025-2040. </w:t>
      </w:r>
    </w:p>
    <w:p w14:paraId="5C50FC14" w14:textId="77777777" w:rsidR="007D2814" w:rsidRDefault="00DD102F">
      <w:pPr>
        <w:pStyle w:val="IEABodyText"/>
      </w:pPr>
      <w:r>
        <w:t xml:space="preserve">Pompele de căldură pot ajuta Moldova pe mai multe fronturi. Prin reducerea utilizării gazelor naturale, acestea pot îmbunătăți securitatea energetică și pot reduce emisiile de gaze cu efect de seră. Sprijinirea dezvoltării sectorului pompelor de căldură poate oferi locuri de muncă pentru moldoveni în domeniul instalării, întreținerii și fabricării. Pompele de căldură, însoțite de măsuri de îmbunătățire a eficienței țesăturilor (și anume, cât de bine reține căldura o clădire), pot, de asemenea, să reducă costurile încălzirii gospodăriilor, reducând în același timp poluarea atmosferică locală legată de arderea combustibililor fosili și a biomasei. </w:t>
      </w:r>
    </w:p>
    <w:p w14:paraId="29E37A63" w14:textId="77777777" w:rsidR="007D2814" w:rsidRDefault="00DD102F">
      <w:pPr>
        <w:pStyle w:val="IEABodyText"/>
      </w:pPr>
      <w:r>
        <w:t>Pentru a realiza această viziune, raportul conține numeroase recomandări de politică pe termen scurt și lung. Trei dintre acestea se disting ca priorități pentru Moldova în 2025:</w:t>
      </w:r>
    </w:p>
    <w:p w14:paraId="16DAE9C1" w14:textId="319CB50F" w:rsidR="007D2814" w:rsidRDefault="00DD102F">
      <w:pPr>
        <w:pStyle w:val="IEABodyBulletTextlevel1"/>
      </w:pPr>
      <w:r>
        <w:rPr>
          <w:b/>
        </w:rPr>
        <w:t xml:space="preserve">Abordarea prețurilor la energie: </w:t>
      </w:r>
      <w:r>
        <w:t xml:space="preserve">Reducerea decalajului dintre prețul energiei electrice și cel al gazelor pentru a face pompele de căldură mai accesibile ca preț și pentru a scurta perioada de </w:t>
      </w:r>
      <w:r w:rsidR="008F78E4">
        <w:t>recuperare</w:t>
      </w:r>
      <w:r>
        <w:t>.</w:t>
      </w:r>
    </w:p>
    <w:p w14:paraId="7C95D4AA" w14:textId="77AF5A9D" w:rsidR="007D2814" w:rsidRDefault="00DD102F">
      <w:pPr>
        <w:pStyle w:val="IEABodyBulletTextlevel1"/>
      </w:pPr>
      <w:r>
        <w:rPr>
          <w:b/>
        </w:rPr>
        <w:t xml:space="preserve">Eliminarea treptată a combustibililor fosili: </w:t>
      </w:r>
      <w:r>
        <w:t xml:space="preserve">Aplicarea standardelor de performanță în conformitate cu Directiva Uniunii Europene privind performanța energetică a clădirilor pentru a limita utilizarea combustibililor fosili în clădirile noi și pentru a stabili o dată de eliminare treptată a instalațiilor de cazane noi pe bază de </w:t>
      </w:r>
      <w:r w:rsidR="008F78E4">
        <w:t>gaze naturale</w:t>
      </w:r>
      <w:r>
        <w:t xml:space="preserve"> în clădirile existente. </w:t>
      </w:r>
    </w:p>
    <w:p w14:paraId="299A1631" w14:textId="3F0A0928" w:rsidR="007D2814" w:rsidRDefault="00DD102F">
      <w:pPr>
        <w:pStyle w:val="IEABodyBulletTextlevel1"/>
      </w:pPr>
      <w:r>
        <w:rPr>
          <w:b/>
        </w:rPr>
        <w:t xml:space="preserve">Planul pentru încălzirea cu emisii scăzute de dioxid de carbon: </w:t>
      </w:r>
      <w:r>
        <w:t xml:space="preserve">Să solicite autorităților locale să planifice încălzirea și răcirea pe termen lung în conformitate cu Directiva Uniunii Europene privind eficiența energetică, desemnând zone pentru rețelele de încălzire centralizată cu temperatură scăzută, modernizând rețelele existente pentru compatibilitatea cu pompele de căldură și instalând pompe de căldură cu sursă de aer. </w:t>
      </w:r>
    </w:p>
    <w:p w14:paraId="3A0A8CB3" w14:textId="77777777" w:rsidR="007D2814" w:rsidRDefault="007D2814"/>
    <w:p w14:paraId="6F51BFFF" w14:textId="77777777" w:rsidR="007D2814" w:rsidRDefault="007D2814"/>
    <w:p w14:paraId="237AA199" w14:textId="415A543A" w:rsidR="007D2814" w:rsidRDefault="00DD102F">
      <w:r>
        <w:br w:type="page"/>
      </w:r>
    </w:p>
    <w:p w14:paraId="3EB852AE" w14:textId="77777777" w:rsidR="007D2814" w:rsidRDefault="007D2814">
      <w:pPr>
        <w:pStyle w:val="Heading2"/>
        <w:sectPr w:rsidR="007D2814" w:rsidSect="00B833DE">
          <w:headerReference w:type="default" r:id="rId23"/>
          <w:endnotePr>
            <w:numFmt w:val="decimal"/>
            <w:numRestart w:val="eachSect"/>
          </w:endnotePr>
          <w:type w:val="continuous"/>
          <w:pgSz w:w="11906" w:h="16838" w:code="9"/>
          <w:pgMar w:top="1588" w:right="1588" w:bottom="1588" w:left="1588" w:header="709" w:footer="709" w:gutter="0"/>
          <w:cols w:space="708"/>
          <w:docGrid w:linePitch="360"/>
        </w:sectPr>
      </w:pPr>
    </w:p>
    <w:p w14:paraId="42907906" w14:textId="4EB93DB2" w:rsidR="007D2814" w:rsidRDefault="00DD102F">
      <w:pPr>
        <w:pStyle w:val="Heading2"/>
      </w:pPr>
      <w:bookmarkStart w:id="40" w:name="_Toc201571405"/>
      <w:r>
        <w:lastRenderedPageBreak/>
        <w:t>Stadiul și indicatorii-cheie</w:t>
      </w:r>
      <w:bookmarkEnd w:id="40"/>
    </w:p>
    <w:p w14:paraId="54DDB56A" w14:textId="3DBB7001" w:rsidR="007D2814" w:rsidRDefault="00DD102F">
      <w:pPr>
        <w:pStyle w:val="IEABodyText"/>
      </w:pPr>
      <w:r>
        <w:t>Republica Moldova este o țară fără ieșire la mare, situată între granița de nord-est a României și marginea de sud-vest a Ucrainei. Suprafața sa de 33 800 km</w:t>
      </w:r>
      <w:r>
        <w:rPr>
          <w:vertAlign w:val="superscript"/>
        </w:rPr>
        <w:t>2</w:t>
      </w:r>
      <w:r>
        <w:t xml:space="preserve"> o face aproximativ aceeași dimensiune ca Armenia sau Belgia. Moldova avea o </w:t>
      </w:r>
      <w:hyperlink r:id="rId24" w:history="1">
        <w:r>
          <w:rPr>
            <w:rStyle w:val="Hyperlink"/>
          </w:rPr>
          <w:t xml:space="preserve">populație de 2,45 milioane de locuitori </w:t>
        </w:r>
      </w:hyperlink>
      <w:r>
        <w:t xml:space="preserve">în 2023, în scădere cu 15 % față de 2013. Continuarea urbanizării în contextul acestui exod al populației prezintă considerente politice importante pentru reformele din sectorul încălzirii. Acest capitol oferă o imagine de ansamblu a cadrului de politică energetică al Republicii Moldova, a țintelor și obiectivelor sale în materie de energie, a guvernanței instituționale și a statisticilor privind sectorul încălzirii. </w:t>
      </w:r>
    </w:p>
    <w:p w14:paraId="5327DEE2" w14:textId="65C90562" w:rsidR="007D2814" w:rsidRDefault="00DD102F">
      <w:pPr>
        <w:pStyle w:val="Heading3"/>
      </w:pPr>
      <w:r>
        <w:t>Peisajul politicii energetice</w:t>
      </w:r>
    </w:p>
    <w:p w14:paraId="19F4BF4C" w14:textId="77777777" w:rsidR="007D2814" w:rsidRDefault="00DD102F">
      <w:pPr>
        <w:pStyle w:val="Heading4"/>
      </w:pPr>
      <w:r>
        <w:t>Prezentare generală a guvernanței</w:t>
      </w:r>
    </w:p>
    <w:p w14:paraId="707DB6A6" w14:textId="2A6C05F5" w:rsidR="007D2814" w:rsidRDefault="00DD102F">
      <w:pPr>
        <w:pStyle w:val="IEABodyText"/>
      </w:pPr>
      <w:r>
        <w:t xml:space="preserve">Sectorul energetic al Moldovei este guvernat de mai multe instituții-cheie care colaborează pentru gestionarea resurselor energetice, a producției și a consumului de energie. Ministerul </w:t>
      </w:r>
      <w:hyperlink r:id="rId25" w:history="1">
        <w:r>
          <w:rPr>
            <w:rStyle w:val="Hyperlink"/>
          </w:rPr>
          <w:t>Energiei</w:t>
        </w:r>
      </w:hyperlink>
      <w:r>
        <w:t xml:space="preserve"> este </w:t>
      </w:r>
      <w:r w:rsidR="008F78E4">
        <w:t xml:space="preserve">organul central de specialitate al administrației publice în domeniul energeticii, responsabil de </w:t>
      </w:r>
      <w:r>
        <w:t xml:space="preserve">elaborarea de politici energetice strategice pentru a asigura securitatea energetică și dezvoltarea sectorială. </w:t>
      </w:r>
      <w:hyperlink r:id="rId26" w:history="1">
        <w:r>
          <w:rPr>
            <w:rStyle w:val="Hyperlink"/>
          </w:rPr>
          <w:t>Centrul național pentru energie durabilă</w:t>
        </w:r>
      </w:hyperlink>
      <w:r>
        <w:t xml:space="preserve"> (</w:t>
      </w:r>
      <w:r w:rsidR="008F78E4">
        <w:t>CNED</w:t>
      </w:r>
      <w:r>
        <w:t xml:space="preserve">) depune eforturi pentru a asigura punerea în aplicare a acestor politici, în special în domeniul surselor regenerabile de energie și al eficienței energetice. De asemenea, </w:t>
      </w:r>
      <w:r w:rsidR="008F78E4">
        <w:t>CNED</w:t>
      </w:r>
      <w:r>
        <w:t xml:space="preserve"> identifică și gestionează fonduri pentru proiecte de eficiență energetică și energie regenerabilă, oferă finanțare directă sau co-finanțare pentru inițiative și dezvoltă programe de finanțare care combină fonduri externe, bugete de stat și obligații în materie de eficiență energetică.</w:t>
      </w:r>
    </w:p>
    <w:p w14:paraId="21D4E9FB" w14:textId="4113125F" w:rsidR="007D2814" w:rsidRDefault="00DD102F">
      <w:pPr>
        <w:pStyle w:val="IEABodyText"/>
      </w:pPr>
      <w:r>
        <w:t xml:space="preserve">Ministerul </w:t>
      </w:r>
      <w:hyperlink r:id="rId27" w:history="1">
        <w:r>
          <w:rPr>
            <w:rStyle w:val="Hyperlink"/>
          </w:rPr>
          <w:t>Mediului</w:t>
        </w:r>
      </w:hyperlink>
      <w:r>
        <w:t xml:space="preserve"> are o competență ecologică amplă pentru a asigura alinierea politicilor energetice la obiectivele de durabilitate, pentru a promova consumul eficient de energie și pentru a sprijini sursele regenerabile de energie. Autoritatea de reglementare din Moldova în sectorul energetic este </w:t>
      </w:r>
      <w:hyperlink r:id="rId28" w:history="1">
        <w:r>
          <w:rPr>
            <w:rStyle w:val="Hyperlink"/>
          </w:rPr>
          <w:t>Agenția Națională pentru Reglementare în Energetică</w:t>
        </w:r>
      </w:hyperlink>
      <w:r>
        <w:t xml:space="preserve"> (ANRE). Acesta supraveghează reglementarea pieței și aprobă prețurile și tarifele pentru energia electrică, gazele naturale și </w:t>
      </w:r>
      <w:r w:rsidR="0069345C">
        <w:t xml:space="preserve">energia termică livrată prin sistemele de alimentare </w:t>
      </w:r>
      <w:r>
        <w:t>centralizată</w:t>
      </w:r>
      <w:r w:rsidR="0069345C">
        <w:t xml:space="preserve"> cu energie termică</w:t>
      </w:r>
      <w:r>
        <w:t>, precum și pentru apă și canalizare.</w:t>
      </w:r>
    </w:p>
    <w:p w14:paraId="0020F66A" w14:textId="31FE6C6B" w:rsidR="007D2814" w:rsidRDefault="00DD102F">
      <w:pPr>
        <w:pStyle w:val="IEABodyText"/>
      </w:pPr>
      <w:hyperlink r:id="rId29" w:history="1">
        <w:r>
          <w:rPr>
            <w:rStyle w:val="Hyperlink"/>
          </w:rPr>
          <w:t>Biroul Național de Statistică (BNS)</w:t>
        </w:r>
      </w:hyperlink>
      <w:r>
        <w:t xml:space="preserve"> este principalul organ de statistică al țării. Acesta definește metodologii statistice, efectuează anchete naționale și colectează și prelucrează date pentru bilanțul energetic al Moldovei, care sunt </w:t>
      </w:r>
      <w:r>
        <w:lastRenderedPageBreak/>
        <w:t xml:space="preserve">partajate cu Agenția Internațională a Energiei și cu Eurostat. </w:t>
      </w:r>
      <w:hyperlink r:id="rId30" w:history="1">
        <w:r>
          <w:rPr>
            <w:rStyle w:val="Hyperlink"/>
          </w:rPr>
          <w:t>Agenția Națională pentru Cercetare și Dezvoltare</w:t>
        </w:r>
      </w:hyperlink>
      <w:r>
        <w:t xml:space="preserve"> (NARD) supraveghează politicile de cercetare și inovare, inclusiv programele de cercetare ale Uniunii Europene, cum ar fi Orizont Europa. NARD sprijină inițiativele legate de energie prin finanțarea de proiecte, încurajarea parteneriatelor și promovarea colaborării internaționale pentru a promova cercetarea și tehnologia în domeniul energiei. </w:t>
      </w:r>
    </w:p>
    <w:p w14:paraId="0B99E4C7" w14:textId="77777777" w:rsidR="007D2814" w:rsidRDefault="00DD102F">
      <w:pPr>
        <w:pStyle w:val="Heading4"/>
      </w:pPr>
      <w:r>
        <w:t>Strategia și obiectivele energetice</w:t>
      </w:r>
    </w:p>
    <w:p w14:paraId="29EA567A" w14:textId="18F74887" w:rsidR="007D2814" w:rsidRDefault="00DD102F">
      <w:pPr>
        <w:pStyle w:val="IEABodyText"/>
      </w:pPr>
      <w:r>
        <w:t xml:space="preserve">În aprilie 2024, Moldova </w:t>
      </w:r>
      <w:hyperlink r:id="rId31" w:history="1">
        <w:r>
          <w:rPr>
            <w:rStyle w:val="Hyperlink"/>
          </w:rPr>
          <w:t>a adoptat o legislație obligatorie din punct de vedere juridic,</w:t>
        </w:r>
      </w:hyperlink>
      <w:r>
        <w:t xml:space="preserve"> prin care se angajează să atingă un nivel net al emisiilor egal cu zero până în 2050. Pe lângă stabilirea acestui obiectiv, Legea nr. 74 privind </w:t>
      </w:r>
      <w:r w:rsidR="00E3502C">
        <w:t>acțiunile</w:t>
      </w:r>
      <w:r>
        <w:t xml:space="preserve"> climatice instituie o comisie privind schimbările climatice care să coordoneze politicile și cheltuielile publice pentru adaptare și atenuare. </w:t>
      </w:r>
    </w:p>
    <w:p w14:paraId="1E04404F" w14:textId="6FF3DBD6" w:rsidR="007D2814" w:rsidRDefault="008F78E4">
      <w:pPr>
        <w:pStyle w:val="IEABodyText"/>
        <w:rPr>
          <w:color w:val="000000" w:themeColor="text1"/>
        </w:rPr>
      </w:pPr>
      <w:hyperlink r:id="rId32" w:history="1">
        <w:r w:rsidR="00DD102F">
          <w:rPr>
            <w:rStyle w:val="Hyperlink"/>
          </w:rPr>
          <w:t>Strategia energetică a Moldovei p</w:t>
        </w:r>
        <w:r w:rsidR="0069345C">
          <w:rPr>
            <w:rStyle w:val="Hyperlink"/>
          </w:rPr>
          <w:t xml:space="preserve">ână în anul </w:t>
        </w:r>
        <w:r w:rsidR="00DD102F">
          <w:rPr>
            <w:rStyle w:val="Hyperlink"/>
          </w:rPr>
          <w:t>2030 a</w:t>
        </w:r>
      </w:hyperlink>
      <w:r w:rsidR="00DD102F">
        <w:t xml:space="preserve"> stabilit mai multe obiective intermediare legate de energia din surse regenerabile, inclusiv de căldura din surse regenerabile, până în 2020. Planul național</w:t>
      </w:r>
      <w:r w:rsidR="00E3502C">
        <w:t xml:space="preserve"> integrat</w:t>
      </w:r>
      <w:r w:rsidR="00DD102F">
        <w:t xml:space="preserve"> privind energia și clima al țării (PNEC, </w:t>
      </w:r>
      <w:hyperlink r:id="rId33" w:history="1">
        <w:r w:rsidR="00DD102F">
          <w:rPr>
            <w:rStyle w:val="Hyperlink"/>
          </w:rPr>
          <w:t>nr. 86 din 26.2.2025),</w:t>
        </w:r>
      </w:hyperlink>
      <w:r w:rsidR="00DD102F">
        <w:t xml:space="preserve"> </w:t>
      </w:r>
      <w:hyperlink r:id="rId34" w:history="1">
        <w:r w:rsidR="00DD102F">
          <w:rPr>
            <w:rStyle w:val="Hyperlink"/>
          </w:rPr>
          <w:t xml:space="preserve">aprobat recent de </w:t>
        </w:r>
        <w:r w:rsidR="0069345C">
          <w:rPr>
            <w:rStyle w:val="Hyperlink"/>
          </w:rPr>
          <w:t>Guvernul</w:t>
        </w:r>
        <w:r w:rsidR="00DD102F">
          <w:rPr>
            <w:rStyle w:val="Hyperlink"/>
          </w:rPr>
          <w:t xml:space="preserve"> Republicii Moldova,</w:t>
        </w:r>
      </w:hyperlink>
      <w:r w:rsidR="00DD102F">
        <w:t xml:space="preserve"> a actualizat aceste obiective pentru 2030 și a adăugat ținte suplimentare. </w:t>
      </w:r>
    </w:p>
    <w:p w14:paraId="2423D18F" w14:textId="2F09737B" w:rsidR="007D2814" w:rsidRDefault="00DD102F">
      <w:pPr>
        <w:pStyle w:val="IEABodyText"/>
      </w:pPr>
      <w:r>
        <w:t>Aceste obiective includ atingerea unei ponderi de 27 % a energiei din surse regenerabile în consumul final de energie și creșterea ușoară a ponderii energiei din surse regenerabile în încălzire și răcire la 42,5 % din consumul final brut de energie până în 2030, pompele de căldură contribuind cu 2,3 %. În prezent, o mare parte din energia regenerabilă utilizată pentru încălzire constă în biocombustibili solizi. PNEC identifică, de asemenea, o nevoie financiară de 180 de milioane USD pentru „Promovarea pompelor de căldură în Republica Moldova”.</w:t>
      </w:r>
    </w:p>
    <w:p w14:paraId="633E120F" w14:textId="266E4AB0" w:rsidR="007D2814" w:rsidRDefault="00DD102F">
      <w:pPr>
        <w:pStyle w:val="IEAFigureTitle"/>
      </w:pPr>
      <w:r>
        <w:lastRenderedPageBreak/>
        <w:t>Scurtă evaluare a surselor regenerabile de energie (SHARES) în sectorul energetic din Moldova</w:t>
      </w:r>
    </w:p>
    <w:p w14:paraId="415E119B" w14:textId="198C0DC4" w:rsidR="007D2814" w:rsidRDefault="00DD102F">
      <w:pPr>
        <w:pStyle w:val="IEAFigurePlace"/>
      </w:pPr>
      <w:r>
        <w:rPr>
          <w:noProof/>
          <w:lang w:val="en-US"/>
        </w:rPr>
        <w:drawing>
          <wp:inline distT="0" distB="0" distL="0" distR="0" wp14:anchorId="11050F49" wp14:editId="2E19B31C">
            <wp:extent cx="5543550" cy="2274570"/>
            <wp:effectExtent l="0" t="0" r="0" b="0"/>
            <wp:docPr id="5" name="Imagine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43550" cy="2274570"/>
                    </a:xfrm>
                    <a:prstGeom prst="rect">
                      <a:avLst/>
                    </a:prstGeom>
                    <a:noFill/>
                    <a:ln>
                      <a:noFill/>
                    </a:ln>
                  </pic:spPr>
                </pic:pic>
              </a:graphicData>
            </a:graphic>
          </wp:inline>
        </w:drawing>
      </w:r>
    </w:p>
    <w:p w14:paraId="1EC797EC" w14:textId="77777777" w:rsidR="007D2814" w:rsidRDefault="00DD102F">
      <w:pPr>
        <w:pStyle w:val="IEAFigureCopyright"/>
        <w:rPr>
          <w:b/>
          <w:bCs/>
        </w:rPr>
      </w:pPr>
      <w:r>
        <w:t>AIE CC BY 4.0</w:t>
      </w:r>
    </w:p>
    <w:p w14:paraId="6A1BF234" w14:textId="77777777" w:rsidR="007D2814" w:rsidRDefault="00DD102F">
      <w:pPr>
        <w:pStyle w:val="IEASources"/>
      </w:pPr>
      <w:r>
        <w:rPr>
          <w:b/>
        </w:rPr>
        <w:t>*</w:t>
      </w:r>
      <w:r>
        <w:t>Ponderea include consumul final brut de energie pentru încălzire și răcire din surse regenerabile, în conformitate cu articolul 7 din Directiva privind energia din surse regenerabile.</w:t>
      </w:r>
    </w:p>
    <w:p w14:paraId="4D279AF1" w14:textId="77777777" w:rsidR="007D2814" w:rsidRDefault="00DD102F">
      <w:pPr>
        <w:pStyle w:val="IEASources"/>
        <w:rPr>
          <w:b/>
          <w:bCs/>
        </w:rPr>
      </w:pPr>
      <w:r>
        <w:t>** Obiectivele PNEC reprezintă nivelurile care pot fi atinse prin măsurile planificate.</w:t>
      </w:r>
      <w:r>
        <w:rPr>
          <w:b/>
        </w:rPr>
        <w:t xml:space="preserve"> </w:t>
      </w:r>
    </w:p>
    <w:p w14:paraId="036FF888" w14:textId="458EE142" w:rsidR="007D2814" w:rsidRDefault="00DD102F">
      <w:pPr>
        <w:pStyle w:val="IEASources"/>
      </w:pPr>
      <w:r>
        <w:t xml:space="preserve">Sursă: AIE pe baza datelor Eurostat </w:t>
      </w:r>
      <w:hyperlink r:id="rId36" w:history="1">
        <w:r>
          <w:rPr>
            <w:rStyle w:val="Hyperlink"/>
          </w:rPr>
          <w:t>și</w:t>
        </w:r>
      </w:hyperlink>
      <w:r>
        <w:t xml:space="preserve"> </w:t>
      </w:r>
      <w:hyperlink r:id="rId37" w:history="1">
        <w:r>
          <w:rPr>
            <w:rStyle w:val="Hyperlink"/>
          </w:rPr>
          <w:t>ale Republicii Moldova.</w:t>
        </w:r>
      </w:hyperlink>
    </w:p>
    <w:p w14:paraId="1E7D39EB" w14:textId="77777777" w:rsidR="007D2814" w:rsidRDefault="007D2814">
      <w:pPr>
        <w:pStyle w:val="IEAFigureClosing"/>
      </w:pPr>
    </w:p>
    <w:p w14:paraId="4EE8B1F2" w14:textId="7F0E1520" w:rsidR="007D2814" w:rsidRDefault="00DD102F">
      <w:pPr>
        <w:pStyle w:val="IEABodyText"/>
      </w:pPr>
      <w:r>
        <w:t>Ambiția Moldovei în ceea ce privește energia electrică din surse regenerabile este mai evidentă. Se preconizează că ponderea sa în scenariul de politică planificat al PNEC va crește de la aproximativ 9 % în 2023 la 18,2 % în 2025 și la 31,2 % în 2030. Se preconizează că producția de biomasă va rămâne stabilă, deși nu este clar ce tehnologii pot acoperi decalajul – și în ce măsură. Sunt necesare mai multe detalii cu privire la rolurile tehnologiilor specifice, în timp ce obiectivele explicite privind pompele de căldură ar oferi claritate industriei și publicului.</w:t>
      </w:r>
    </w:p>
    <w:p w14:paraId="4FFF73BE" w14:textId="77777777" w:rsidR="007D2814" w:rsidRDefault="00DD102F">
      <w:pPr>
        <w:pStyle w:val="IEABodyText"/>
      </w:pPr>
      <w:r>
        <w:t>PNEC stabilește obiective anuale privind intensitatea energetică pentru perioada 2020-2030, urmate de obiective pe cinci ani până în 2050. Printre acestea se numără o reducere cu 45 % a intensității energiei primare (măsurată în unități de energie per EUR) și o scădere cu 27 % a intensității energetice finale până în 2030.</w:t>
      </w:r>
      <w:r>
        <w:rPr>
          <w:rStyle w:val="FootnoteReference"/>
        </w:rPr>
        <w:footnoteReference w:id="3"/>
      </w:r>
      <w:r>
        <w:t xml:space="preserve"> Combinate, aceste reduceri ar trebui să se ridice la o scădere de 75 % până în 2050.</w:t>
      </w:r>
    </w:p>
    <w:p w14:paraId="16083045" w14:textId="6DBD45C5" w:rsidR="007D2814" w:rsidRDefault="00DD102F">
      <w:pPr>
        <w:pStyle w:val="IEABodyText"/>
      </w:pPr>
      <w:r>
        <w:t xml:space="preserve">Obiectivele sectoriale de eficiență energetică pentru încălzire includ în prezent obiective modeste, cum ar fi creșterea eficienței încălzirii spațiilor rezidențiale la 69 % în 2030, de la 66 % în 2020. O implementare mai largă a pompelor de căldură – care funcționează de obicei cu </w:t>
      </w:r>
      <w:r w:rsidR="0069345C">
        <w:t xml:space="preserve">un coeficient de performanță </w:t>
      </w:r>
      <w:r>
        <w:t xml:space="preserve">de 3-4 – ar putea sprijini un obiectiv mai ambițios. PNEC vizează, de asemenea, o reducere cu 50 % a intensității energetice industriale între 2020 și 2030, subliniind </w:t>
      </w:r>
      <w:r>
        <w:lastRenderedPageBreak/>
        <w:t xml:space="preserve">necesitatea de a reduce dependența de biomasa solidă – deși fără obiective specifice – și de a reduce nivelurile sărăciei absolute cu cel puțin 50 %. </w:t>
      </w:r>
    </w:p>
    <w:p w14:paraId="53307E4A" w14:textId="1CFE0041" w:rsidR="007D2814" w:rsidRDefault="00DD102F">
      <w:pPr>
        <w:pStyle w:val="IEABodyText"/>
      </w:pPr>
      <w:r>
        <w:t xml:space="preserve">Guvernul Republicii Moldova recunoaște în mod clar beneficiile pompelor de căldură și rolul acestora în atingerea obiectivelor lor de politică. Pompele de căldură cu sursă subterană </w:t>
      </w:r>
      <w:hyperlink r:id="rId38" w:history="1">
        <w:r>
          <w:rPr>
            <w:rStyle w:val="Hyperlink"/>
          </w:rPr>
          <w:t>au fost identificate ca fiind o tehnologie „prioritate absolută”</w:t>
        </w:r>
      </w:hyperlink>
      <w:r>
        <w:t xml:space="preserve"> pentru adaptarea sectorului energetic la schimbările climatice. În plus, Moldova a prezentat o acțiune națională adecvată de atenuare (NAMA) în 2018, solicitând sprijin pentru </w:t>
      </w:r>
      <w:hyperlink r:id="rId39" w:history="1">
        <w:r>
          <w:rPr>
            <w:rStyle w:val="Hyperlink"/>
          </w:rPr>
          <w:t>punerea în aplicare a unui proiect de promovare a pompelor de căldură.</w:t>
        </w:r>
      </w:hyperlink>
      <w:r>
        <w:t xml:space="preserve"> Aproximativ 90 de milioane USD au fost solicitate sub formă de grant și 54 de milioane USD sub formă de împrumut concesional. Deși, la momentul, pare să fi rămas nefinanțată, aceasta subliniază gradul de conștientizare al țării cu privire la pompele de căldură pentru a reduce consumul de gaze naturale.</w:t>
      </w:r>
    </w:p>
    <w:p w14:paraId="0669B1B5" w14:textId="77777777" w:rsidR="007D2814" w:rsidRDefault="00DD102F">
      <w:pPr>
        <w:pStyle w:val="Heading4"/>
      </w:pPr>
      <w:r>
        <w:t>Încălzire și răcire din surse regenerabile</w:t>
      </w:r>
    </w:p>
    <w:p w14:paraId="1FD3118C" w14:textId="561E77D1" w:rsidR="007D2814" w:rsidRDefault="008F78E4">
      <w:pPr>
        <w:pStyle w:val="IEABodyText"/>
      </w:pPr>
      <w:hyperlink r:id="rId40" w:history="1">
        <w:r w:rsidR="00DD102F">
          <w:rPr>
            <w:rStyle w:val="Hyperlink"/>
          </w:rPr>
          <w:t xml:space="preserve">Legea privind </w:t>
        </w:r>
        <w:r w:rsidR="0069345C">
          <w:rPr>
            <w:rStyle w:val="Hyperlink"/>
          </w:rPr>
          <w:t xml:space="preserve">promovarea utilizării </w:t>
        </w:r>
        <w:r w:rsidR="00DD102F">
          <w:rPr>
            <w:rStyle w:val="Hyperlink"/>
          </w:rPr>
          <w:t>energi</w:t>
        </w:r>
        <w:r w:rsidR="0069345C">
          <w:rPr>
            <w:rStyle w:val="Hyperlink"/>
          </w:rPr>
          <w:t>ei</w:t>
        </w:r>
        <w:r w:rsidR="00DD102F">
          <w:rPr>
            <w:rStyle w:val="Hyperlink"/>
          </w:rPr>
          <w:t xml:space="preserve"> din surse regenerabile</w:t>
        </w:r>
      </w:hyperlink>
      <w:r w:rsidR="0069345C">
        <w:rPr>
          <w:rStyle w:val="Hyperlink"/>
        </w:rPr>
        <w:t>, nr. 10/2016</w:t>
      </w:r>
      <w:r w:rsidR="00DD102F">
        <w:t xml:space="preserve"> din Moldova acordă prioritate </w:t>
      </w:r>
      <w:r w:rsidR="0069345C">
        <w:t xml:space="preserve">valorificării </w:t>
      </w:r>
      <w:r w:rsidR="00DD102F">
        <w:t xml:space="preserve">energiei electrice din surse regenerabile – și anume energia eoliană și solară – promovând în același timp eficiența în transformarea, transportul și consumul de energie. Aceasta transpune legislația-cheie a UE, cum ar fi Directiva privind energia din surse regenerabile (RED), definind termenii și metodele de calcul pentru consumul final brut de energie din surse regenerabile pentru încălzire și răcire, astfel cum se subliniază la articolele 23 și 24 din RED III. </w:t>
      </w:r>
    </w:p>
    <w:p w14:paraId="7F54E273" w14:textId="54A02A3F" w:rsidR="007D2814" w:rsidRDefault="00DD102F">
      <w:pPr>
        <w:pStyle w:val="IEABodyText"/>
      </w:pPr>
      <w:r>
        <w:t>Se preconizează că energia din surse regenerabile va juca un rol mai important în încălzirea centralizată, având în vedere că țara necesită o creștere anuală de 1,1 puncte procentuale a ponderii energiei din surse regenerabile. Cu toate acestea, PNEC preconizează, de asemenea, că producția totală de încălzire centralizată va scădea cu o treime, în timp ce cererea de energie rezidențială va scădea, de asemenea, în mod semnificativ până în 2050. Pompele de căldură au posibilitatea de a umple aceste goluri.</w:t>
      </w:r>
    </w:p>
    <w:p w14:paraId="768057A0" w14:textId="1EBE38E9" w:rsidR="007D2814" w:rsidRDefault="00DD102F">
      <w:pPr>
        <w:pStyle w:val="IEABodyText"/>
      </w:pPr>
      <w:r>
        <w:t xml:space="preserve">O strategie națională de încălzire și răcire poate contribui la clarificarea cererii de energie termică a țării și a surselor sale de căldură disponibile. De asemenea, ea poate orienta extinderea rețelei de energie electrică pentru a sprijini electrificarea pe scară mai largă prin intermediul pompelor de căldură și al renovărilor clădirilor – ambele fiind esențiale pentru reducerea la minimum a costului introducerii pe scară largă a pompelor de căldură. Moldova nu dispune de un plan național de încălzire și de un studiu cuprinzător al sectorului său de încălzire. Aceasta ar putea lua drept model </w:t>
      </w:r>
      <w:hyperlink r:id="rId41" w:history="1">
        <w:r>
          <w:rPr>
            <w:rStyle w:val="Hyperlink"/>
          </w:rPr>
          <w:t>Studiul național privind căldura din</w:t>
        </w:r>
      </w:hyperlink>
      <w:r>
        <w:t xml:space="preserve"> Irlanda. Un </w:t>
      </w:r>
      <w:hyperlink r:id="rId42" w:history="1">
        <w:r>
          <w:rPr>
            <w:rStyle w:val="Hyperlink"/>
          </w:rPr>
          <w:t>studiu al Băncii Mondiale</w:t>
        </w:r>
      </w:hyperlink>
      <w:r>
        <w:t>, care nu este încă public, a început să examineze peisajul încălzirii și răcirii din Moldova.</w:t>
      </w:r>
    </w:p>
    <w:p w14:paraId="34AE8D16" w14:textId="77777777" w:rsidR="007D2814" w:rsidRDefault="00DD102F">
      <w:pPr>
        <w:pStyle w:val="Heading4"/>
      </w:pPr>
      <w:r>
        <w:lastRenderedPageBreak/>
        <w:t>Eficiența energetică a clădirilor</w:t>
      </w:r>
    </w:p>
    <w:p w14:paraId="2767577D" w14:textId="77777777" w:rsidR="007D2814" w:rsidRDefault="00DD102F">
      <w:pPr>
        <w:pStyle w:val="IEABodyText"/>
        <w:rPr>
          <w:color w:val="000000" w:themeColor="text1"/>
        </w:rPr>
      </w:pPr>
      <w:r>
        <w:t>Se preconizează că modificările aduse Legii privind eficiența energetică vor genera economii anuale de energie de 0,8 % în perioada 2024-2030, pe baza consumului mediu din perioada 2019-2022, datorită măsurilor incluse în sistemul guvernamental de obligații în materie de eficiență energetică, cum ar fi renovarea clădirilor și sprijinirea noilor tehnologii. După cum s-a discutat anterior, PNEC își stabilește obiectivele la nivel înalt în materie de eficiență energetică.</w:t>
      </w:r>
    </w:p>
    <w:p w14:paraId="42942FBA" w14:textId="3AEEBCE1" w:rsidR="007D2814" w:rsidRDefault="00DD102F">
      <w:pPr>
        <w:pStyle w:val="IEABodyText"/>
      </w:pPr>
      <w:r>
        <w:t xml:space="preserve">Legea Republicii Moldova privind performanța energetică a clădirilor prevede luarea în considerare a surselor alternative de energie, cum ar fi pompele de căldură, în noile proiecte de clădiri. În aprilie 2024, au fost introduse noi regulamente pentru a se adapta la Directiva actualizată a Uniunii Europene privind performanța energetică a clădirilor (EPBD) din 2018, în timp ce, în septembrie 2024, Moldova </w:t>
      </w:r>
      <w:hyperlink r:id="rId43" w:history="1">
        <w:r>
          <w:rPr>
            <w:rStyle w:val="Hyperlink"/>
          </w:rPr>
          <w:t>a adoptat norme actualizate</w:t>
        </w:r>
      </w:hyperlink>
      <w:r>
        <w:t xml:space="preserve"> pentru certificarea performanței energetice. Cadrul legislativ al țării pentru performanța clădirilor este, prin urmare, cuprinzător, însă o strategie pe termen lung de renovare a clădirilor nu a fost încă adoptată. În conformitate cu articolul 14 din Directiva UE privind eficiența energetică, Moldova </w:t>
      </w:r>
      <w:hyperlink r:id="rId44" w:history="1">
        <w:r>
          <w:rPr>
            <w:rStyle w:val="Hyperlink"/>
          </w:rPr>
          <w:t>nu a finalizat încă</w:t>
        </w:r>
      </w:hyperlink>
      <w:r>
        <w:t xml:space="preserve"> o evaluare a potențialului său de încălzire și răcire eficientă.</w:t>
      </w:r>
    </w:p>
    <w:p w14:paraId="49F7B9D4" w14:textId="4B7319F8" w:rsidR="007D2814" w:rsidRDefault="00DD102F">
      <w:pPr>
        <w:pStyle w:val="IEABodyText"/>
        <w:rPr>
          <w:rFonts w:cs="Arial"/>
          <w:i/>
          <w:iCs/>
        </w:rPr>
      </w:pPr>
      <w:r>
        <w:rPr>
          <w:rFonts w:cs="Arial"/>
        </w:rPr>
        <w:t xml:space="preserve">Moldova impune, de asemenea, o eficiență ridicată pentru aparatele electrice prin </w:t>
      </w:r>
      <w:hyperlink r:id="rId45" w:history="1">
        <w:r>
          <w:rPr>
            <w:rStyle w:val="Hyperlink"/>
            <w:rFonts w:cs="Arial"/>
          </w:rPr>
          <w:t>Legea nr. 151/2014,</w:t>
        </w:r>
      </w:hyperlink>
      <w:r>
        <w:rPr>
          <w:rFonts w:cs="Arial"/>
        </w:rPr>
        <w:t xml:space="preserve"> care stabilește cerințe în materie de proiectare ecologică pentru produsele cu impact energetic.</w:t>
      </w:r>
      <w:r>
        <w:rPr>
          <w:rFonts w:cs="Arial"/>
          <w:i/>
        </w:rPr>
        <w:t xml:space="preserve"> </w:t>
      </w:r>
      <w:r>
        <w:rPr>
          <w:rFonts w:cs="Arial"/>
        </w:rPr>
        <w:t xml:space="preserve">Acest lucru a fost completat și de </w:t>
      </w:r>
      <w:hyperlink r:id="rId46" w:history="1">
        <w:r>
          <w:rPr>
            <w:rStyle w:val="Hyperlink"/>
            <w:rFonts w:cs="Arial"/>
          </w:rPr>
          <w:t>Legea nr. 306/2023</w:t>
        </w:r>
      </w:hyperlink>
      <w:r>
        <w:rPr>
          <w:rFonts w:cs="Arial"/>
        </w:rPr>
        <w:t xml:space="preserve"> privind etichetarea produselor cu impact energetic.</w:t>
      </w:r>
    </w:p>
    <w:p w14:paraId="3FA0C9E4" w14:textId="77777777" w:rsidR="007D2814" w:rsidRDefault="00DD102F">
      <w:pPr>
        <w:pStyle w:val="Heading4"/>
      </w:pPr>
      <w:r>
        <w:t>Perspectivele viitoare</w:t>
      </w:r>
    </w:p>
    <w:p w14:paraId="166DFB6F" w14:textId="62F4E4E7" w:rsidR="007D2814" w:rsidRDefault="00DD102F">
      <w:pPr>
        <w:pStyle w:val="IEABodyText"/>
      </w:pPr>
      <w:r>
        <w:t xml:space="preserve">Moldova s-a înscris pe calea aderării la Uniunea Europeană, </w:t>
      </w:r>
      <w:hyperlink r:id="rId47" w:history="1">
        <w:r w:rsidRPr="00A46953">
          <w:rPr>
            <w:rStyle w:val="Hyperlink"/>
            <w:color w:val="auto"/>
            <w:u w:val="none"/>
          </w:rPr>
          <w:t>alegătorii aprobând</w:t>
        </w:r>
        <w:r w:rsidRPr="00A46953">
          <w:rPr>
            <w:color w:val="auto"/>
          </w:rPr>
          <w:t xml:space="preserve"> în octombrie 2024</w:t>
        </w:r>
      </w:hyperlink>
      <w:r w:rsidR="00A46953">
        <w:rPr>
          <w:color w:val="auto"/>
        </w:rPr>
        <w:t xml:space="preserve"> </w:t>
      </w:r>
      <w:r w:rsidRPr="00A46953">
        <w:rPr>
          <w:rStyle w:val="Hyperlink"/>
          <w:color w:val="auto"/>
          <w:u w:val="none"/>
        </w:rPr>
        <w:t xml:space="preserve">un amendament constituțional care face din aderarea la bloc un obiectiv național oficial. Moldova a adoptat reforme semnificative în sectorul energetic pentru a se alinia la standardele UE. De la aderarea la Comunitatea Energiei – un grup de țări care desfășoară reforme în sectorul energetic pentru a-și sprijini eforturile de aderare la UE – în 2010, Moldova a înregistrat progrese notabile. Începând din 2024, aceasta se numără </w:t>
      </w:r>
      <w:hyperlink r:id="rId48" w:history="1">
        <w:r w:rsidRPr="00A46953">
          <w:rPr>
            <w:rStyle w:val="Hyperlink"/>
            <w:color w:val="auto"/>
            <w:u w:val="none"/>
          </w:rPr>
          <w:t>printre țările cu cele mai bune performanțe ale grupului,</w:t>
        </w:r>
      </w:hyperlink>
      <w:r>
        <w:t xml:space="preserve">punând în aplicare 66 % din reformele energetice, comparativ cu media grupului de 51 %. Performanța sa cea mai puternică ține de competența autorităților sale naționale și de decarbonizarea sectorului energetic, în timp ce rămâne în urmă în ceea ce privește îmbunătățirile de mediu. </w:t>
      </w:r>
    </w:p>
    <w:p w14:paraId="14538F5E" w14:textId="188AEB8D" w:rsidR="007D2814" w:rsidRDefault="00DD102F">
      <w:pPr>
        <w:pStyle w:val="IEABodyText"/>
      </w:pPr>
      <w:r>
        <w:t xml:space="preserve">Recentul impuls al Moldovei pentru o integrare mai strânsă cu Uniunea Europeană este evident prin </w:t>
      </w:r>
      <w:hyperlink r:id="rId49" w:history="1">
        <w:r>
          <w:rPr>
            <w:rStyle w:val="Hyperlink"/>
          </w:rPr>
          <w:t>semnarea unui acord în valoare de 310 milioane EUR</w:t>
        </w:r>
      </w:hyperlink>
      <w:r>
        <w:t xml:space="preserve"> cu Comisia Europeană pentru alinierea sistemului energetic al țării la piața UE. </w:t>
      </w:r>
    </w:p>
    <w:p w14:paraId="64AFCBE8" w14:textId="77777777" w:rsidR="007D2814" w:rsidRDefault="00DD102F">
      <w:pPr>
        <w:pStyle w:val="Heading3"/>
      </w:pPr>
      <w:bookmarkStart w:id="41" w:name="_Toc198194974"/>
      <w:r>
        <w:lastRenderedPageBreak/>
        <w:t>Energie în Moldova</w:t>
      </w:r>
      <w:bookmarkEnd w:id="41"/>
      <w:r>
        <w:t xml:space="preserve"> </w:t>
      </w:r>
    </w:p>
    <w:p w14:paraId="002238A7" w14:textId="05FFC0E3" w:rsidR="007D2814" w:rsidRDefault="00DD102F">
      <w:pPr>
        <w:pStyle w:val="IEABodyText"/>
      </w:pPr>
      <w:r>
        <w:t xml:space="preserve">Moldova nu dispune de resurse interne de hidrocarburi, ceea ce evidențiază potențialul surselor regenerabile de energie de a reduce nu numai emisiile de gaze cu efect de seră ale țării, ci și de a-și consolida securitatea energetică. Nu are combustibili fosili interni și importă mai mult de 80% din energia sa primară. Biomasa este de mult timp singura resursă energetică internă a Moldovei, însă, în ultimii cinci ani, aceasta și-a extins rapid capacitatea solară și eoliană. Cu toate acestea, asigurarea unei aprovizionări fiabile și coerente cu gaze </w:t>
      </w:r>
      <w:r w:rsidR="0069345C">
        <w:t xml:space="preserve">naturale </w:t>
      </w:r>
      <w:r>
        <w:t xml:space="preserve">și energie electrică a fost cea </w:t>
      </w:r>
      <w:hyperlink r:id="rId50" w:history="1">
        <w:r>
          <w:rPr>
            <w:rStyle w:val="Hyperlink"/>
          </w:rPr>
          <w:t>mai mare provocare a țării în materie de securitate energetică.</w:t>
        </w:r>
      </w:hyperlink>
      <w:r>
        <w:t xml:space="preserve"> </w:t>
      </w:r>
    </w:p>
    <w:p w14:paraId="5D8E2831" w14:textId="116F8378" w:rsidR="007D2814" w:rsidRDefault="00DD102F">
      <w:pPr>
        <w:pStyle w:val="IEABodyText"/>
      </w:pPr>
      <w:r>
        <w:t xml:space="preserve">Principala sursă de energie electrică a Moldovei </w:t>
      </w:r>
      <w:r w:rsidR="00A46953">
        <w:t>a fost</w:t>
      </w:r>
      <w:r>
        <w:t xml:space="preserve"> </w:t>
      </w:r>
      <w:hyperlink r:id="rId51" w:history="1">
        <w:r>
          <w:rPr>
            <w:rStyle w:val="Hyperlink"/>
          </w:rPr>
          <w:t xml:space="preserve">centrala </w:t>
        </w:r>
        <w:r w:rsidR="0069345C">
          <w:rPr>
            <w:rStyle w:val="Hyperlink"/>
          </w:rPr>
          <w:t>termo</w:t>
        </w:r>
        <w:r>
          <w:rPr>
            <w:rStyle w:val="Hyperlink"/>
          </w:rPr>
          <w:t>electrică MGRES</w:t>
        </w:r>
      </w:hyperlink>
      <w:r>
        <w:t xml:space="preserve">, o </w:t>
      </w:r>
      <w:r w:rsidR="0069345C">
        <w:t>centrală electrică</w:t>
      </w:r>
      <w:r>
        <w:t xml:space="preserve"> situată în </w:t>
      </w:r>
      <w:r w:rsidR="00A46953">
        <w:t xml:space="preserve">regiunea </w:t>
      </w:r>
      <w:r>
        <w:t>Transnistr</w:t>
      </w:r>
      <w:r w:rsidR="00A46953">
        <w:t>eană</w:t>
      </w:r>
      <w:r>
        <w:t xml:space="preserve"> care funcționează în principal </w:t>
      </w:r>
      <w:r w:rsidR="0069345C">
        <w:t>pe</w:t>
      </w:r>
      <w:r>
        <w:t xml:space="preserve"> gaze naturale furnizate de Federația Rusă. În ultimii ani, Transnistria a beneficiat gratuit de combustibilii fosili furnizați de Rusia. Acești combustibili au fost utilizați pentru încălzirea locuințelor și a întreprinderilor, pentru alimentarea proceselor industriale și pentru furnizarea MGRES. În urma refuzului Ucrainei de a-și reînnoi acordul de tranzit al gazelor naturale cu Rusia, aprovizionarea cu gaze </w:t>
      </w:r>
      <w:r w:rsidR="0069345C">
        <w:t xml:space="preserve">naturale </w:t>
      </w:r>
      <w:r>
        <w:t xml:space="preserve">a Transnistriei a fost oprită în ianuarie 2025. Această situație a continuat să evolueze pe parcursul </w:t>
      </w:r>
      <w:r w:rsidR="0069345C">
        <w:t>elaborării</w:t>
      </w:r>
      <w:r>
        <w:t xml:space="preserve"> prezentului raport.</w:t>
      </w:r>
    </w:p>
    <w:p w14:paraId="31A8D417" w14:textId="6B12BA70" w:rsidR="007D2814" w:rsidRDefault="00DD102F">
      <w:pPr>
        <w:pStyle w:val="IEABodyText"/>
      </w:pPr>
      <w:r>
        <w:t xml:space="preserve">Moldova a început să renunțe la combustibilii fosili din Rusia în octombrie 2021, când a început să importe gaze naturale prin România, </w:t>
      </w:r>
      <w:r w:rsidRPr="00A46953">
        <w:t>punând capăt dependenței sale exclusive</w:t>
      </w:r>
      <w:r>
        <w:t xml:space="preserve"> de Gazprom. Prin urmare, Moldovagaz – fosta societate de utilitate publică de monopol controlată de Gazprom – </w:t>
      </w:r>
      <w:r w:rsidRPr="00A46953">
        <w:t>a înregistrat o scădere a cotei sale de piață</w:t>
      </w:r>
      <w:r>
        <w:t xml:space="preserve"> de la 98 % în 2022 la 90 % în primul trimestru al anului 2024. Livrările Gazprom către Moldovagaz au încetat complet în ianuarie 2025.</w:t>
      </w:r>
    </w:p>
    <w:p w14:paraId="34DD4C99" w14:textId="7752C798" w:rsidR="007D2814" w:rsidRDefault="00DD102F">
      <w:pPr>
        <w:pStyle w:val="IEABodyText"/>
      </w:pPr>
      <w:r>
        <w:t xml:space="preserve">Pentru a consolida securitatea energetică și a diversifica aprovizionarea cu energie, au fost luate măsuri suplimentare, inclusiv integrarea rețelei de transport. Moldova, alături de Ucraina, și-a sincronizat rețelele electrice cu principala rețea europeană operată de Rețeaua europeană a operatorilor de sisteme de transport de energie electrică (ENTSO-E). Fluxurile comerciale de energie electrică dintre Moldova și țările ENTSO-E </w:t>
      </w:r>
      <w:hyperlink r:id="rId52" w:history="1">
        <w:r>
          <w:rPr>
            <w:rStyle w:val="Hyperlink"/>
          </w:rPr>
          <w:t>au început la 30 iunie 2022,</w:t>
        </w:r>
      </w:hyperlink>
      <w:r>
        <w:t xml:space="preserve"> diversificând și mai mult aprovizionarea cu energie electrică a Moldovei în afara MGRES.</w:t>
      </w:r>
    </w:p>
    <w:p w14:paraId="28D0660C" w14:textId="77777777" w:rsidR="007D2814" w:rsidRDefault="00DD102F">
      <w:pPr>
        <w:pStyle w:val="IEABodyText"/>
      </w:pPr>
      <w:r>
        <w:t xml:space="preserve">Consumul de energie în clădiri reprezintă cea mai mare pondere din consumul final total (CPT) în Moldova, de aproximativ 53 %, sau 55,6 petajouli (PJ) în 2023. Alimentarea cu energie a clădirilor este dominată de biocombustibili și gaze naturale. Sectorul transporturilor reprezintă aproximativ 30 % din TFC – aproximativ 31,5 PJ în 2023 – aproape în întregime din produse petroliere. Industria, agricultura și silvicultura completează lista cu 17 % în total, consumul de energie provenind în mare parte din produse petroliere, gaze naturale și energie electrică. </w:t>
      </w:r>
    </w:p>
    <w:p w14:paraId="2C279BB5" w14:textId="77777777" w:rsidR="007D2814" w:rsidRDefault="00DD102F">
      <w:pPr>
        <w:pStyle w:val="IEAFigureTitle"/>
      </w:pPr>
      <w:bookmarkStart w:id="42" w:name="_Toc198195001"/>
      <w:r>
        <w:lastRenderedPageBreak/>
        <w:t>Consumul final total pe sectoare și combustibili, 2023</w:t>
      </w:r>
      <w:bookmarkEnd w:id="42"/>
    </w:p>
    <w:p w14:paraId="258E66B6" w14:textId="3F0FB2AD" w:rsidR="007D2814" w:rsidRDefault="00DD102F">
      <w:pPr>
        <w:pStyle w:val="IEAFigurePlace"/>
      </w:pPr>
      <w:r>
        <w:rPr>
          <w:noProof/>
          <w:lang w:val="en-US"/>
        </w:rPr>
        <w:drawing>
          <wp:inline distT="0" distB="0" distL="0" distR="0" wp14:anchorId="00ED2D63" wp14:editId="7826DFC0">
            <wp:extent cx="5543550" cy="1954530"/>
            <wp:effectExtent l="0" t="0" r="0" b="0"/>
            <wp:docPr id="8" name="Imagine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43550" cy="1954530"/>
                    </a:xfrm>
                    <a:prstGeom prst="rect">
                      <a:avLst/>
                    </a:prstGeom>
                    <a:noFill/>
                    <a:ln>
                      <a:noFill/>
                    </a:ln>
                  </pic:spPr>
                </pic:pic>
              </a:graphicData>
            </a:graphic>
          </wp:inline>
        </w:drawing>
      </w:r>
    </w:p>
    <w:p w14:paraId="73665510" w14:textId="77777777" w:rsidR="007D2814" w:rsidRDefault="00DD102F">
      <w:pPr>
        <w:pStyle w:val="IEAFigureCopyright"/>
        <w:rPr>
          <w:b/>
          <w:bCs/>
        </w:rPr>
      </w:pPr>
      <w:r>
        <w:t>AIE CC BY 4.0</w:t>
      </w:r>
    </w:p>
    <w:p w14:paraId="37DA3D46" w14:textId="77777777" w:rsidR="007D2814" w:rsidRDefault="00DD102F">
      <w:pPr>
        <w:pStyle w:val="IEASources"/>
      </w:pPr>
      <w:r>
        <w:t>* Include gospodării, servicii comerciale și publice.</w:t>
      </w:r>
    </w:p>
    <w:p w14:paraId="4A6D8703" w14:textId="0C366EEB" w:rsidR="007D2814" w:rsidRDefault="00DD102F">
      <w:pPr>
        <w:pStyle w:val="IEASources"/>
      </w:pPr>
      <w:r>
        <w:t xml:space="preserve">Sursă: AIE pe baza datelor furnizate de </w:t>
      </w:r>
      <w:hyperlink r:id="rId54" w:history="1">
        <w:r>
          <w:rPr>
            <w:rStyle w:val="Hyperlink"/>
          </w:rPr>
          <w:t>Biroul Național de Statistică .</w:t>
        </w:r>
      </w:hyperlink>
    </w:p>
    <w:p w14:paraId="2DAACFEC" w14:textId="77777777" w:rsidR="007D2814" w:rsidRDefault="007D2814">
      <w:pPr>
        <w:pStyle w:val="IEAFigureClosing"/>
      </w:pPr>
    </w:p>
    <w:p w14:paraId="5D71DBD2" w14:textId="77777777" w:rsidR="007D2814" w:rsidRDefault="00DD102F">
      <w:pPr>
        <w:pStyle w:val="IEABodyText"/>
      </w:pPr>
      <w:r>
        <w:t>Acest lucru subliniază importanța decarbonizării și a îmbunătățirii performanței clădirilor pentru a îndeplini obiectivele Moldovei în materie de climă și eficiență energetică. Provocarea nu constă doar în eliminarea treptată a gazelor naturale și a păcurii din clădirile Moldovei, ci și în limitarea utilizării biomasei care, atunci când este utilizată în mod nesustenabil, prezintă riscuri pentru sănătate și mediu.</w:t>
      </w:r>
    </w:p>
    <w:p w14:paraId="740ADF41" w14:textId="77777777" w:rsidR="007D2814" w:rsidRDefault="00DD102F">
      <w:pPr>
        <w:pStyle w:val="IEABodyText"/>
      </w:pPr>
      <w:r>
        <w:t>Emisiile din sectorul energetic al Moldovei provin în principal din gazele naturale, majoritatea fiind arse în clădiri, pentru centralele de cogenerare pentru încălzirea centralizată și pentru industrie. Petrolul este, de asemenea, responsabil pentru o mare parte din emisii, dar este utilizat în principal de sectorul transporturilor.</w:t>
      </w:r>
    </w:p>
    <w:p w14:paraId="6023A3E4" w14:textId="77777777" w:rsidR="007D2814" w:rsidRDefault="00DD102F">
      <w:pPr>
        <w:pStyle w:val="IEAFigureTitle"/>
      </w:pPr>
      <w:bookmarkStart w:id="43" w:name="_Toc198195002"/>
      <w:r>
        <w:t>Emisiile de gaze cu efect de seră provenite din ardere, în funcție de combustibil, 2023</w:t>
      </w:r>
      <w:bookmarkEnd w:id="43"/>
    </w:p>
    <w:p w14:paraId="04A9CA7A" w14:textId="1BB97DE1" w:rsidR="007D2814" w:rsidRDefault="00DD102F">
      <w:pPr>
        <w:pStyle w:val="IEAFigurePlace"/>
      </w:pPr>
      <w:r>
        <w:rPr>
          <w:noProof/>
          <w:lang w:val="en-US"/>
        </w:rPr>
        <w:drawing>
          <wp:inline distT="0" distB="0" distL="0" distR="0" wp14:anchorId="37ED9067" wp14:editId="164C2678">
            <wp:extent cx="5543550" cy="1948180"/>
            <wp:effectExtent l="0" t="0" r="0" b="0"/>
            <wp:docPr id="22534582" name="Imagine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43550" cy="1948180"/>
                    </a:xfrm>
                    <a:prstGeom prst="rect">
                      <a:avLst/>
                    </a:prstGeom>
                    <a:noFill/>
                    <a:ln>
                      <a:noFill/>
                    </a:ln>
                  </pic:spPr>
                </pic:pic>
              </a:graphicData>
            </a:graphic>
          </wp:inline>
        </w:drawing>
      </w:r>
    </w:p>
    <w:p w14:paraId="6207740B" w14:textId="77777777" w:rsidR="007D2814" w:rsidRDefault="00DD102F">
      <w:pPr>
        <w:pStyle w:val="IEAFigureCopyright"/>
        <w:rPr>
          <w:b/>
          <w:bCs/>
        </w:rPr>
      </w:pPr>
      <w:r>
        <w:t>AIE CC BY 4.0</w:t>
      </w:r>
    </w:p>
    <w:p w14:paraId="52FBC34E" w14:textId="77777777" w:rsidR="007D2814" w:rsidRDefault="00DD102F">
      <w:pPr>
        <w:pStyle w:val="IEASources"/>
      </w:pPr>
      <w:r>
        <w:t>Observații: Include numai emisiile estimate de CH</w:t>
      </w:r>
      <w:r>
        <w:rPr>
          <w:vertAlign w:val="subscript"/>
        </w:rPr>
        <w:t>4</w:t>
      </w:r>
      <w:r>
        <w:t xml:space="preserve"> și N</w:t>
      </w:r>
      <w:r>
        <w:rPr>
          <w:vertAlign w:val="subscript"/>
        </w:rPr>
        <w:t>2</w:t>
      </w:r>
      <w:r>
        <w:t>O generate de biocombustibili.</w:t>
      </w:r>
    </w:p>
    <w:p w14:paraId="1F806419" w14:textId="7218416C" w:rsidR="007D2814" w:rsidRDefault="00DD102F">
      <w:pPr>
        <w:pStyle w:val="IEASources"/>
      </w:pPr>
      <w:r>
        <w:t xml:space="preserve">Sursă: </w:t>
      </w:r>
      <w:bookmarkStart w:id="44" w:name="_Toc198194975"/>
      <w:r>
        <w:t xml:space="preserve">AIE (2025), </w:t>
      </w:r>
      <w:hyperlink r:id="rId56" w:history="1">
        <w:r>
          <w:rPr>
            <w:rStyle w:val="Hyperlink"/>
          </w:rPr>
          <w:t>Emisiile de gaze cu efect de seră generate de energie.</w:t>
        </w:r>
      </w:hyperlink>
      <w:r>
        <w:t xml:space="preserve"> </w:t>
      </w:r>
    </w:p>
    <w:p w14:paraId="670D0F4C" w14:textId="77777777" w:rsidR="007D2814" w:rsidRDefault="007D2814">
      <w:pPr>
        <w:pStyle w:val="IEAFigureClosing"/>
      </w:pPr>
    </w:p>
    <w:bookmarkEnd w:id="44"/>
    <w:p w14:paraId="1B8CE7FA" w14:textId="654EAD7B" w:rsidR="007D2814" w:rsidRDefault="00DD102F">
      <w:pPr>
        <w:pStyle w:val="Heading3"/>
      </w:pPr>
      <w:r>
        <w:lastRenderedPageBreak/>
        <w:t>Încălzire în Moldova</w:t>
      </w:r>
    </w:p>
    <w:p w14:paraId="07AC33F2" w14:textId="77777777" w:rsidR="007D2814" w:rsidRDefault="00DD102F">
      <w:pPr>
        <w:pStyle w:val="IEABodyText"/>
      </w:pPr>
      <w:r>
        <w:t>Sectorul încălzirii din Moldova se bazează pe o combinație de combustibili fosili importați și biomasă internă. Cea mai mare parte a căldurii este furnizată prin sisteme individuale de clădiri, restul provenind de la centrale de cogenerare alimentate în mare parte cu gaze naturale. Aceste resurse fie sunt importate în întregime (de exemplu, gaze naturale și păcură), fie depind de</w:t>
      </w:r>
      <w:r>
        <w:rPr>
          <w:rStyle w:val="FootnoteReference"/>
        </w:rPr>
        <w:footnoteReference w:id="4"/>
      </w:r>
      <w:r>
        <w:t xml:space="preserve"> biomasă limitată, în mare parte nesustenabilă – singura sursă internă de combustibil pentru încălzire a Moldovei.</w:t>
      </w:r>
    </w:p>
    <w:p w14:paraId="74518162" w14:textId="1B7B13A7" w:rsidR="007D2814" w:rsidRDefault="00DD102F">
      <w:pPr>
        <w:pStyle w:val="IEABodyText"/>
      </w:pPr>
      <w:r>
        <w:t xml:space="preserve">În </w:t>
      </w:r>
      <w:hyperlink r:id="rId57" w:history="1">
        <w:r>
          <w:rPr>
            <w:rStyle w:val="Hyperlink"/>
          </w:rPr>
          <w:t>clădirile rezidențiale,</w:t>
        </w:r>
      </w:hyperlink>
      <w:r>
        <w:t xml:space="preserve"> cea mai mare parte a energiei consumate (69 %) este destinată încălzirii spațiilor. Această energie provine </w:t>
      </w:r>
      <w:hyperlink r:id="rId58" w:history="1">
        <w:r>
          <w:rPr>
            <w:rStyle w:val="Hyperlink"/>
          </w:rPr>
          <w:t>în principal</w:t>
        </w:r>
      </w:hyperlink>
      <w:r>
        <w:t xml:space="preserve"> din biomasă (65 %), gaze naturale (16 %) și încălzire centralizată (13 %). Energia electrică reprezintă în prezent mai puțin de 1% din încălzirea spațiului în locuințele din Moldova, subliniind rolul încă minor al pompelor de căldură în țară.</w:t>
      </w:r>
    </w:p>
    <w:p w14:paraId="75DD8ED3" w14:textId="2FE0908B" w:rsidR="007D2814" w:rsidRDefault="00DD102F">
      <w:pPr>
        <w:pStyle w:val="IEABodyText"/>
      </w:pPr>
      <w:r>
        <w:t xml:space="preserve">Energia electrică reprezintă </w:t>
      </w:r>
      <w:hyperlink r:id="rId59" w:history="1">
        <w:r>
          <w:rPr>
            <w:rStyle w:val="Hyperlink"/>
          </w:rPr>
          <w:t>o parte mai mare</w:t>
        </w:r>
      </w:hyperlink>
      <w:r>
        <w:t xml:space="preserve"> din cererea de încălzire a apei – aproximativ 34 %. Restul energiei provine dintr-o combinație de gaze naturale (52 %), produse petroliere (6 %) și căldură centralizată (4 %). Pompele de căldură aer-apă pot asigura încălzirea atât a spațiului, cât și a apei de la un singur aparat – și fac acest lucru mai eficient decât cazanele electrice.</w:t>
      </w:r>
    </w:p>
    <w:p w14:paraId="4FBD292A" w14:textId="77777777" w:rsidR="007D2814" w:rsidRDefault="00DD102F">
      <w:pPr>
        <w:pStyle w:val="IEAFigureTitle"/>
      </w:pPr>
      <w:bookmarkStart w:id="45" w:name="_Toc198195003"/>
      <w:r>
        <w:t>Cererea de energie rezidențială pe servicii și combustibil, 2022</w:t>
      </w:r>
      <w:bookmarkEnd w:id="45"/>
    </w:p>
    <w:p w14:paraId="5D7F0148" w14:textId="32D224E7" w:rsidR="007D2814" w:rsidRDefault="00DD102F">
      <w:pPr>
        <w:pStyle w:val="IEAFigurePlace"/>
      </w:pPr>
      <w:r>
        <w:rPr>
          <w:noProof/>
          <w:lang w:val="en-US"/>
        </w:rPr>
        <w:drawing>
          <wp:inline distT="0" distB="0" distL="0" distR="0" wp14:anchorId="7587396A" wp14:editId="283246EB">
            <wp:extent cx="5543550" cy="1950085"/>
            <wp:effectExtent l="0" t="0" r="0" b="0"/>
            <wp:docPr id="12" name="Imagine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43550" cy="1950085"/>
                    </a:xfrm>
                    <a:prstGeom prst="rect">
                      <a:avLst/>
                    </a:prstGeom>
                    <a:noFill/>
                    <a:ln>
                      <a:noFill/>
                    </a:ln>
                  </pic:spPr>
                </pic:pic>
              </a:graphicData>
            </a:graphic>
          </wp:inline>
        </w:drawing>
      </w:r>
    </w:p>
    <w:p w14:paraId="24E814C1" w14:textId="77777777" w:rsidR="007D2814" w:rsidRDefault="00DD102F">
      <w:pPr>
        <w:pStyle w:val="IEAFigureCopyright"/>
        <w:rPr>
          <w:b/>
          <w:bCs/>
        </w:rPr>
      </w:pPr>
      <w:r>
        <w:t>AIE CC BY 4.0</w:t>
      </w:r>
    </w:p>
    <w:p w14:paraId="7670E622" w14:textId="48047854" w:rsidR="007D2814" w:rsidRDefault="00DD102F">
      <w:pPr>
        <w:pStyle w:val="IEASources"/>
      </w:pPr>
      <w:r>
        <w:t xml:space="preserve">Sursă: AIE (2024), </w:t>
      </w:r>
      <w:hyperlink r:id="rId61" w:history="1">
        <w:r>
          <w:rPr>
            <w:rStyle w:val="Hyperlink"/>
          </w:rPr>
          <w:t>Energy End-uses and Efficiency Indicators (Utilizările finale ale energiei și indicatorii de eficiență</w:t>
        </w:r>
      </w:hyperlink>
      <w:r>
        <w:t xml:space="preserve"> energetică).</w:t>
      </w:r>
    </w:p>
    <w:p w14:paraId="37357808" w14:textId="77777777" w:rsidR="007D2814" w:rsidRDefault="007D2814">
      <w:pPr>
        <w:pStyle w:val="IEAFigureClosing"/>
      </w:pPr>
    </w:p>
    <w:p w14:paraId="6439A521" w14:textId="77777777" w:rsidR="007D2814" w:rsidRDefault="00DD102F">
      <w:pPr>
        <w:pStyle w:val="IEABodyText"/>
      </w:pPr>
      <w:r>
        <w:t xml:space="preserve">În ultimul deceniu, cererea de servicii de încălzire în clădirile din Moldova a scăzut cu aproximativ 12%. Aceasta reflectă, în linii mari, scăderea populației țării cu 15 % din 2013 – o tendință care s-a accelerat după 2018. Acest val de emigrare a </w:t>
      </w:r>
      <w:r>
        <w:lastRenderedPageBreak/>
        <w:t>coincis cu o scădere cu 35 % a cererii de biomasă pentru încălzirea locuințelor începând din 2018 – deși până în 2021 acest lucru a fost parțial compensat de o creștere a utilizării gazelor naturale. În perioada 2021-2023, cererea de gaze naturale pentru încălzire a Moldovei a scăzut cu 40 %.</w:t>
      </w:r>
    </w:p>
    <w:p w14:paraId="1280C9B8" w14:textId="77777777" w:rsidR="007D2814" w:rsidRDefault="00DD102F">
      <w:pPr>
        <w:pStyle w:val="IEABodyText"/>
      </w:pPr>
      <w:r>
        <w:t>Cererea de energie termică centralizată a scăzut mai lent în această perioadă, în timp ce consumul de energie electrică din 2013 a crescut cu aproximativ 4 %.</w:t>
      </w:r>
    </w:p>
    <w:p w14:paraId="71C74C71" w14:textId="77777777" w:rsidR="007D2814" w:rsidRDefault="00DD102F">
      <w:pPr>
        <w:pStyle w:val="IEAFigureTitle"/>
      </w:pPr>
      <w:bookmarkStart w:id="46" w:name="_Toc198195004"/>
      <w:r>
        <w:t>Cererea de energie pentru încălzirea spațiilor, încălzirea apei și gătit, 2013-2023</w:t>
      </w:r>
      <w:bookmarkEnd w:id="46"/>
    </w:p>
    <w:p w14:paraId="7BA25EE5" w14:textId="39075996" w:rsidR="007D2814" w:rsidRDefault="00DD102F">
      <w:pPr>
        <w:pStyle w:val="IEAFigurePlace"/>
      </w:pPr>
      <w:r>
        <w:rPr>
          <w:noProof/>
          <w:lang w:val="en-US"/>
        </w:rPr>
        <w:drawing>
          <wp:inline distT="0" distB="0" distL="0" distR="0" wp14:anchorId="1EE4388B" wp14:editId="350D0199">
            <wp:extent cx="5543550" cy="1950085"/>
            <wp:effectExtent l="0" t="0" r="0" b="0"/>
            <wp:docPr id="13" name="Imagine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43550" cy="1950085"/>
                    </a:xfrm>
                    <a:prstGeom prst="rect">
                      <a:avLst/>
                    </a:prstGeom>
                    <a:noFill/>
                    <a:ln>
                      <a:noFill/>
                    </a:ln>
                  </pic:spPr>
                </pic:pic>
              </a:graphicData>
            </a:graphic>
          </wp:inline>
        </w:drawing>
      </w:r>
    </w:p>
    <w:p w14:paraId="10386EB2" w14:textId="77777777" w:rsidR="007D2814" w:rsidRDefault="00DD102F">
      <w:pPr>
        <w:pStyle w:val="IEAFigureCopyright"/>
        <w:rPr>
          <w:b/>
          <w:bCs/>
        </w:rPr>
      </w:pPr>
      <w:r>
        <w:t>AIE CC BY 4.0</w:t>
      </w:r>
    </w:p>
    <w:p w14:paraId="5FFB571D" w14:textId="1926A756" w:rsidR="007D2814" w:rsidRDefault="00DD102F">
      <w:pPr>
        <w:pStyle w:val="IEASources"/>
      </w:pPr>
      <w:r>
        <w:t xml:space="preserve">Sursă: AIE pe baza datelor furnizate de </w:t>
      </w:r>
      <w:hyperlink r:id="rId63" w:history="1">
        <w:r>
          <w:rPr>
            <w:rStyle w:val="Hyperlink"/>
          </w:rPr>
          <w:t>Biroul Național de Statistică .</w:t>
        </w:r>
      </w:hyperlink>
    </w:p>
    <w:p w14:paraId="7AE90525" w14:textId="77777777" w:rsidR="007D2814" w:rsidRDefault="007D2814">
      <w:pPr>
        <w:pStyle w:val="IEAFigureClosing"/>
      </w:pPr>
    </w:p>
    <w:p w14:paraId="4849D312" w14:textId="71E96766" w:rsidR="007D2814" w:rsidRDefault="00DD102F">
      <w:pPr>
        <w:pStyle w:val="IEABodyText"/>
      </w:pPr>
      <w:r>
        <w:t xml:space="preserve">Deși o parte din scăderea utilizării biomasei pentru încălzire poate fi atribuită scăderii populației Moldovei, țara a </w:t>
      </w:r>
      <w:hyperlink r:id="rId64" w:history="1">
        <w:r>
          <w:rPr>
            <w:rStyle w:val="Hyperlink"/>
          </w:rPr>
          <w:t>depus, de asemenea, eforturi</w:t>
        </w:r>
      </w:hyperlink>
      <w:r>
        <w:t xml:space="preserve"> pentru a trece de la </w:t>
      </w:r>
      <w:r w:rsidR="00E72FE4">
        <w:t xml:space="preserve">sobe </w:t>
      </w:r>
      <w:r>
        <w:t xml:space="preserve"> tradiționale pe bază de biomasă la cazane și sobe mai eficiente alimentate cu pele</w:t>
      </w:r>
      <w:r w:rsidR="00E72FE4">
        <w:t>ți</w:t>
      </w:r>
      <w:r>
        <w:t xml:space="preserve"> sau brichete din lemn. Acest lucru este demonstrat de Proiectul Energie și Biomasă 2011-2018, o inițiativă în valoare de 34,8 milioane EUR</w:t>
      </w:r>
      <w:r w:rsidR="00E72FE4">
        <w:t>O</w:t>
      </w:r>
      <w:r>
        <w:t xml:space="preserve"> care a finanțat instalarea cazanelor eficiente pe bază de biomasă în instituțiile publice. </w:t>
      </w:r>
    </w:p>
    <w:p w14:paraId="533323B8" w14:textId="72648494" w:rsidR="007D2814" w:rsidRDefault="00DD102F">
      <w:pPr>
        <w:pStyle w:val="IEABodyText"/>
      </w:pPr>
      <w:r>
        <w:t xml:space="preserve">Moldova are disparități semnificative în ceea ce privește sistemul de încălzire între gospodăriile urbane și cele rurale. Aproape jumătate dintre gospodăriile urbane depind de sisteme centralizate, care variază de la conectarea la </w:t>
      </w:r>
      <w:r w:rsidR="00E72FE4">
        <w:t xml:space="preserve">un sistem de alimentare </w:t>
      </w:r>
      <w:r>
        <w:t xml:space="preserve"> centralizată </w:t>
      </w:r>
      <w:r w:rsidR="00E72FE4">
        <w:t xml:space="preserve">cu energie termică </w:t>
      </w:r>
      <w:r>
        <w:t>până la utilizarea în comun a unui cazan comun într-</w:t>
      </w:r>
      <w:r w:rsidR="00E72FE4">
        <w:t>un bloc locativ</w:t>
      </w:r>
      <w:r w:rsidR="00D1207C">
        <w:t xml:space="preserve"> </w:t>
      </w:r>
      <w:r>
        <w:t>multifamil</w:t>
      </w:r>
      <w:r w:rsidR="00D1207C">
        <w:t>ial</w:t>
      </w:r>
      <w:r>
        <w:t>. O altă treime din locuințele urbane – în principal unități unifamiliale – se bazează pe sisteme independente care furnizează căldură întregii locuințe (de exemplu, printr-un sistem de distribuție pe bază de apă). Aproximativ 2% din locuințele urbane nu au niciun fel de sistem de încălzire.</w:t>
      </w:r>
    </w:p>
    <w:p w14:paraId="6BEE1CF0" w14:textId="301D5CF1" w:rsidR="007D2814" w:rsidRDefault="00DD102F">
      <w:pPr>
        <w:pStyle w:val="IEABodyText"/>
      </w:pPr>
      <w:r>
        <w:t xml:space="preserve">Gospodăriile rurale depind aproape în întregime de sobe individuale – aparate care furnizează căldură unei singure încăperi și nu conțin un sistem de distribuție. Aceste case sunt susceptibile de a avea mai multe astfel de dispozitive. Sistemele </w:t>
      </w:r>
      <w:r>
        <w:lastRenderedPageBreak/>
        <w:t>de încălzire independente sunt mai puțin frecvente, iar în zonele rurale nu există sisteme centralizate.</w:t>
      </w:r>
    </w:p>
    <w:p w14:paraId="28D90DE3" w14:textId="60A64520" w:rsidR="007D2814" w:rsidRDefault="00DD102F">
      <w:pPr>
        <w:pStyle w:val="IEABodyText"/>
      </w:pPr>
      <w:r>
        <w:t xml:space="preserve">În ansamblu, aceasta înseamnă că aproximativ 64% din locuințele din Moldova depind de sobe individuale pentru nevoile lor de încălzire. Acest lucru evidențiază necesitatea nu numai de a înlocui aparatele de încălzire, ci și de a instala sisteme complete de încălzire în aceste case, inclusiv conducte, radiatoare și conducte. </w:t>
      </w:r>
    </w:p>
    <w:p w14:paraId="29F68A1E" w14:textId="77777777" w:rsidR="007D2814" w:rsidRDefault="00DD102F">
      <w:pPr>
        <w:pStyle w:val="IEAFigureTitle"/>
      </w:pPr>
      <w:bookmarkStart w:id="47" w:name="_Toc198195005"/>
      <w:r>
        <w:t>Ponderea locuințelor moldovenești pe sisteme de încălzire și zone rezidențiale</w:t>
      </w:r>
      <w:bookmarkEnd w:id="47"/>
      <w:r>
        <w:t xml:space="preserve"> </w:t>
      </w:r>
    </w:p>
    <w:p w14:paraId="2AC5848D" w14:textId="68B259E7" w:rsidR="007D2814" w:rsidRDefault="00DD102F">
      <w:pPr>
        <w:pStyle w:val="IEAFigurePlace"/>
      </w:pPr>
      <w:r>
        <w:rPr>
          <w:noProof/>
          <w:lang w:val="en-US"/>
        </w:rPr>
        <w:drawing>
          <wp:inline distT="0" distB="0" distL="0" distR="0" wp14:anchorId="3C369B94" wp14:editId="7F930D81">
            <wp:extent cx="5543550" cy="2290445"/>
            <wp:effectExtent l="0" t="0" r="0" b="0"/>
            <wp:docPr id="14" name="Imagine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43550" cy="2290445"/>
                    </a:xfrm>
                    <a:prstGeom prst="rect">
                      <a:avLst/>
                    </a:prstGeom>
                    <a:noFill/>
                    <a:ln>
                      <a:noFill/>
                    </a:ln>
                  </pic:spPr>
                </pic:pic>
              </a:graphicData>
            </a:graphic>
          </wp:inline>
        </w:drawing>
      </w:r>
    </w:p>
    <w:p w14:paraId="6EEF225B" w14:textId="77777777" w:rsidR="007D2814" w:rsidRDefault="00DD102F">
      <w:pPr>
        <w:pStyle w:val="IEAFigureCopyright"/>
        <w:rPr>
          <w:b/>
          <w:bCs/>
        </w:rPr>
      </w:pPr>
      <w:r>
        <w:t>AIE CC BY 4.0</w:t>
      </w:r>
    </w:p>
    <w:p w14:paraId="6705FC82" w14:textId="6C79D6A9" w:rsidR="007D2814" w:rsidRDefault="00DD102F">
      <w:pPr>
        <w:pStyle w:val="IEASources"/>
      </w:pPr>
      <w:r>
        <w:t xml:space="preserve">Sursă: AIE pe baza datelor furnizate de </w:t>
      </w:r>
      <w:hyperlink r:id="rId66" w:history="1">
        <w:r>
          <w:rPr>
            <w:rStyle w:val="Hyperlink"/>
          </w:rPr>
          <w:t>Biroul Național de Statistică .</w:t>
        </w:r>
      </w:hyperlink>
    </w:p>
    <w:p w14:paraId="70D27414" w14:textId="77777777" w:rsidR="007D2814" w:rsidRDefault="007D2814">
      <w:pPr>
        <w:pStyle w:val="IEAFigureClosing"/>
      </w:pPr>
    </w:p>
    <w:p w14:paraId="6BB50661" w14:textId="77777777" w:rsidR="007D2814" w:rsidRDefault="00DD102F">
      <w:pPr>
        <w:pStyle w:val="Heading4"/>
      </w:pPr>
      <w:r>
        <w:t>Încălzire centralizată</w:t>
      </w:r>
    </w:p>
    <w:p w14:paraId="1AC29A72" w14:textId="69965834" w:rsidR="007D2814" w:rsidRDefault="00DD102F">
      <w:pPr>
        <w:pStyle w:val="IEABodyText"/>
        <w:rPr>
          <w:b/>
          <w:bCs/>
        </w:rPr>
      </w:pPr>
      <w:r>
        <w:t xml:space="preserve">Zonele urbane din Moldova se bazează în mod semnificativ pe încălzirea centralizată. În ansamblu, energia termică </w:t>
      </w:r>
      <w:r w:rsidR="00E72FE4">
        <w:t xml:space="preserve">prin sisstem de alimentare </w:t>
      </w:r>
      <w:r>
        <w:t>centralizată</w:t>
      </w:r>
      <w:r w:rsidR="00E72FE4">
        <w:t xml:space="preserve"> cu energie termică este</w:t>
      </w:r>
      <w:r>
        <w:t xml:space="preserve"> furnizează aproximativ </w:t>
      </w:r>
      <w:r w:rsidR="00E72FE4">
        <w:t xml:space="preserve">la </w:t>
      </w:r>
      <w:r>
        <w:t>46 % din locuințele urbane și aproximativ 13 % din cererea națională de încălzire a spațiilor. Sistem</w:t>
      </w:r>
      <w:r w:rsidR="00E72FE4">
        <w:t>ele de alimentare centralizată cu energie termică</w:t>
      </w:r>
      <w:r>
        <w:t xml:space="preserve"> din Moldova </w:t>
      </w:r>
      <w:hyperlink r:id="rId67" w:history="1">
        <w:r>
          <w:rPr>
            <w:rStyle w:val="Hyperlink"/>
          </w:rPr>
          <w:t>se bazează pe gaze naturale</w:t>
        </w:r>
      </w:hyperlink>
      <w:r>
        <w:t xml:space="preserve"> pentru mai mult de 95 % din aprovizionarea sa, restul provenind din bioenergie și o cantitate neglijabilă de p</w:t>
      </w:r>
      <w:r w:rsidR="00E72FE4">
        <w:t>ăcură</w:t>
      </w:r>
      <w:r>
        <w:t xml:space="preserve">. Peste 99% din căldura raională este consumată în cele mai mari două orașe din Chișinău și Bălți. Aproximativ 77 % din </w:t>
      </w:r>
      <w:hyperlink r:id="rId68" w:history="1">
        <w:r>
          <w:rPr>
            <w:rStyle w:val="Hyperlink"/>
          </w:rPr>
          <w:t>energia termică centralizată este furnizată</w:t>
        </w:r>
      </w:hyperlink>
      <w:r>
        <w:t xml:space="preserve"> gospodăriilor, 14,5 % instituțiilor publice și 8,4 % sectorului privat.</w:t>
      </w:r>
    </w:p>
    <w:p w14:paraId="36ABCDC6" w14:textId="0337BFBC" w:rsidR="007D2814" w:rsidRDefault="00DD102F">
      <w:pPr>
        <w:pStyle w:val="IEABodyText"/>
      </w:pPr>
      <w:r>
        <w:t xml:space="preserve">Consumul de energie termică centralizată a scăzut cu peste 20 % între 2010 și 2020, în mare parte </w:t>
      </w:r>
      <w:hyperlink r:id="rId69" w:history="1">
        <w:r>
          <w:rPr>
            <w:rStyle w:val="Hyperlink"/>
          </w:rPr>
          <w:t>din cauza retragerii</w:t>
        </w:r>
      </w:hyperlink>
      <w:r>
        <w:t xml:space="preserve"> capacității de producere a energiei termice pe bază de gaze</w:t>
      </w:r>
      <w:r w:rsidR="00E72FE4">
        <w:t xml:space="preserve"> naturale</w:t>
      </w:r>
      <w:r>
        <w:t xml:space="preserve">. Această tendință a continuat în ultimii ani, scăzând cu încă 11 % între 2020 și 2023. Capacitatea </w:t>
      </w:r>
      <w:hyperlink r:id="rId70" w:history="1">
        <w:r>
          <w:rPr>
            <w:rStyle w:val="Hyperlink"/>
          </w:rPr>
          <w:t>termică centralizată rămasă este</w:t>
        </w:r>
      </w:hyperlink>
      <w:r>
        <w:t xml:space="preserve"> afectată de scăderea eficienței și a producției, în mare parte din cauza investițiilor </w:t>
      </w:r>
      <w:r>
        <w:lastRenderedPageBreak/>
        <w:t xml:space="preserve">insuficiente. În 2022, de exemplu, </w:t>
      </w:r>
      <w:hyperlink r:id="rId71" w:history="1">
        <w:r>
          <w:rPr>
            <w:rStyle w:val="Hyperlink"/>
          </w:rPr>
          <w:t xml:space="preserve">ANRE a </w:t>
        </w:r>
        <w:r w:rsidR="00E72FE4">
          <w:rPr>
            <w:rStyle w:val="Hyperlink"/>
          </w:rPr>
          <w:t>aprobat</w:t>
        </w:r>
      </w:hyperlink>
      <w:r>
        <w:t xml:space="preserve"> investiții în lei moldovenești</w:t>
      </w:r>
      <w:r>
        <w:rPr>
          <w:rStyle w:val="FootnoteReference"/>
        </w:rPr>
        <w:footnoteReference w:id="5"/>
      </w:r>
      <w:r>
        <w:t xml:space="preserve"> (MDL) în valoare de 677,3 milioane (34,5 milioane EUR), dar au fost realizate doar 137,1 milioane lei (7 milioane EUR).</w:t>
      </w:r>
    </w:p>
    <w:p w14:paraId="7801EDE8" w14:textId="7F809AF5" w:rsidR="007D2814" w:rsidRDefault="00DD102F">
      <w:pPr>
        <w:pStyle w:val="IEABodyText"/>
      </w:pPr>
      <w:r>
        <w:t xml:space="preserve">Utilizarea eficientă a pompelor de căldură în rețelele existente din Moldova ar necesita modernizări majore pentru a le converti în vederea funcționării la temperaturi mai scăzute ale debitului. Un </w:t>
      </w:r>
      <w:hyperlink r:id="rId72" w:history="1">
        <w:r>
          <w:rPr>
            <w:rStyle w:val="Hyperlink"/>
          </w:rPr>
          <w:t>proiect în curs de desfășurare în valoare de 92 de milioane EUR,</w:t>
        </w:r>
      </w:hyperlink>
      <w:r>
        <w:t xml:space="preserve"> sponsorizat de Banca Mondială și de Banca Internațională pentru Reconstrucție și Dezvoltare, este în curs de desfășurare pentru modernizarea infrastructurii de încălzire centralizată și îmbunătățirea eficienței cogenerării.</w:t>
      </w:r>
    </w:p>
    <w:p w14:paraId="7D10DA55" w14:textId="77777777" w:rsidR="007D2814" w:rsidRDefault="00DD102F">
      <w:pPr>
        <w:pStyle w:val="Heading4"/>
      </w:pPr>
      <w:r>
        <w:t>Pompe de căldură</w:t>
      </w:r>
    </w:p>
    <w:p w14:paraId="0A94F53B" w14:textId="247D98BF" w:rsidR="007D2814" w:rsidRDefault="00DD102F">
      <w:pPr>
        <w:pStyle w:val="IEABodyText"/>
      </w:pPr>
      <w:r>
        <w:t>Datele privind utilizarea pompelor de căldură pentru încălzirea spațiilor și a apei în clădiri sunt practic absente din statisticile energetice moldovenești. După cum s-a menționat, energia electrică reprezintă mai puțin de 1 % din cererea de încălzire a spațiilor. În prezent, Moldova nu a adoptat metodologia actualizată a Uniunii Europene din metodologia Directivei privind energia din surse regenerabile pentru contabilizarea căldurii ambiante provenite de la pompele de căldură. Includerea căldurii ambientale în statisticile oficiale ar oferi o imagine mai clară a rolului pe care pompele de căldură l-ar putea juca în viitorul mix energetic al Moldovei. Deocamdată, adoptarea pompei de căldură pornește de la o bază foarte scăzută. Datele guvernamentale indică, de asemenea, un număr tot mai mare de unități de climatizare instalate în sectorul rezidențial, determinate de verile mai calde.</w:t>
      </w:r>
    </w:p>
    <w:p w14:paraId="51E7CC60" w14:textId="77777777" w:rsidR="007D2814" w:rsidRDefault="00DD102F">
      <w:pPr>
        <w:pStyle w:val="Heading3"/>
      </w:pPr>
      <w:bookmarkStart w:id="48" w:name="_Toc198194976"/>
      <w:r>
        <w:t>Privire de ansamblu asupra clădirilor din Moldova</w:t>
      </w:r>
      <w:bookmarkEnd w:id="48"/>
      <w:r>
        <w:t xml:space="preserve"> </w:t>
      </w:r>
    </w:p>
    <w:p w14:paraId="44986DFE" w14:textId="3820509B" w:rsidR="007D2814" w:rsidRDefault="00DD102F">
      <w:pPr>
        <w:pStyle w:val="IEABodyText"/>
      </w:pPr>
      <w:r>
        <w:t xml:space="preserve">Sectorul construcțiilor din Republica Moldova este caracterizat de o intensitate energetică ridicată și în creștere. Deși performanța sa este în concordanță cu cea a țărilor învecinate, îmbunătățirea eficienței energetice rămâne o modalitate eficientă din punctul de vedere al costurilor de a reduce cererea de încălzire. Îmbunătățirea eficienței sprijină eliminarea treptată a gazelor naturale importate și optimizează performanța pompelor de căldură, subiecte care urmează să fie discutate în continuare în secțiunea următoare. </w:t>
      </w:r>
    </w:p>
    <w:p w14:paraId="26C0916D" w14:textId="77777777" w:rsidR="007D2814" w:rsidRDefault="00DD102F">
      <w:pPr>
        <w:pStyle w:val="IEAFigureTitle"/>
      </w:pPr>
      <w:bookmarkStart w:id="49" w:name="_Toc198195006"/>
      <w:r>
        <w:lastRenderedPageBreak/>
        <w:t>Intensitatea energetică pe metru pătrat în țările selectate, 2021</w:t>
      </w:r>
      <w:bookmarkEnd w:id="49"/>
    </w:p>
    <w:p w14:paraId="20890C82" w14:textId="2CC1F01F" w:rsidR="007D2814" w:rsidRDefault="00DD102F">
      <w:pPr>
        <w:pStyle w:val="IEAFigurePlace"/>
      </w:pPr>
      <w:r>
        <w:rPr>
          <w:noProof/>
          <w:lang w:val="en-US"/>
        </w:rPr>
        <w:drawing>
          <wp:inline distT="0" distB="0" distL="0" distR="0" wp14:anchorId="261255D2" wp14:editId="446F1C10">
            <wp:extent cx="5543550" cy="1951990"/>
            <wp:effectExtent l="0" t="0" r="0" b="0"/>
            <wp:docPr id="17" name="Imagine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43550" cy="1951990"/>
                    </a:xfrm>
                    <a:prstGeom prst="rect">
                      <a:avLst/>
                    </a:prstGeom>
                    <a:noFill/>
                    <a:ln>
                      <a:noFill/>
                    </a:ln>
                  </pic:spPr>
                </pic:pic>
              </a:graphicData>
            </a:graphic>
          </wp:inline>
        </w:drawing>
      </w:r>
    </w:p>
    <w:p w14:paraId="0DF3E8C3" w14:textId="77777777" w:rsidR="007D2814" w:rsidRDefault="00DD102F">
      <w:pPr>
        <w:pStyle w:val="IEAFigureCopyright"/>
        <w:rPr>
          <w:b/>
          <w:bCs/>
        </w:rPr>
      </w:pPr>
      <w:r>
        <w:t>AIE CC BY 4.0</w:t>
      </w:r>
    </w:p>
    <w:p w14:paraId="613549E5" w14:textId="52971560" w:rsidR="007D2814" w:rsidRDefault="00DD102F">
      <w:pPr>
        <w:pStyle w:val="IEASources"/>
      </w:pPr>
      <w:r>
        <w:t xml:space="preserve">Sursă: AIE (2024), </w:t>
      </w:r>
      <w:hyperlink r:id="rId74" w:history="1">
        <w:r>
          <w:rPr>
            <w:rStyle w:val="Hyperlink"/>
          </w:rPr>
          <w:t>Energy End-uses and Efficiency Indicators (Utilizările finale ale energiei și indicatorii de eficiență</w:t>
        </w:r>
      </w:hyperlink>
      <w:r>
        <w:t xml:space="preserve"> energetică).</w:t>
      </w:r>
    </w:p>
    <w:p w14:paraId="2B0CA2AD" w14:textId="77777777" w:rsidR="007D2814" w:rsidRDefault="007D2814">
      <w:pPr>
        <w:pStyle w:val="IEAFigureClosing"/>
      </w:pPr>
    </w:p>
    <w:p w14:paraId="5460B3DA" w14:textId="65B6BE2E" w:rsidR="007D2814" w:rsidRDefault="00DD102F">
      <w:pPr>
        <w:pStyle w:val="IEABodyText"/>
      </w:pPr>
      <w:r>
        <w:t xml:space="preserve">Clădirile din Republica Moldova au o eficiență textilă scăzută – și anume capacitatea pereților, a acoperișurilor, a ferestrelor și a podelelor de a reține căldura. Aproximativ 75% din locuințe au fost construite înainte de 1990, înainte de introducerea practicilor moderne de construcție și a standardelor de eficiență energetică. O scurtă îmbunătățire a construcției a urmat căderii Uniunii Sovietice, dar numai 14 % din locuințele Moldovei au fost construite din 1996. Locuințele rurale tind să fie doar marginal mai noi decât cele urbane. </w:t>
      </w:r>
    </w:p>
    <w:p w14:paraId="1CE08DFC" w14:textId="4886D8F8" w:rsidR="007D2814" w:rsidRDefault="00DD102F">
      <w:pPr>
        <w:pStyle w:val="IEABodyText"/>
      </w:pPr>
      <w:r>
        <w:t>Clădirile mai vechi slab izolate, în special în zonele rurale, se bazează pe sisteme ineficiente de ardere la temperaturi ridicate sau de încălzire hidraulică. Acest lucru consolidează cererea de încălzire centralizată la temperaturi ridicate, precum și de cazane pe gaz care funcționează la temperaturi ridicate ale debitului și de sobe pe bază de biomasă – toate acestea contribuind la o cascadă de ineficiențe în întregul sistem energetic. Modernizarea clădirilor Republicii Moldova nu numai că va încuraja instalarea pompelor de căldură, ci va reduce dependența acesteia de gazele naturale, va îmbunătăți confortul și va reduce costurile în întregul sistem energetic.</w:t>
      </w:r>
    </w:p>
    <w:p w14:paraId="6DB3C394" w14:textId="77777777" w:rsidR="007D2814" w:rsidRDefault="00DD102F">
      <w:pPr>
        <w:pStyle w:val="IEAFigureTitle"/>
        <w:rPr>
          <w:bCs/>
        </w:rPr>
      </w:pPr>
      <w:bookmarkStart w:id="50" w:name="_Toc198195007"/>
      <w:r>
        <w:lastRenderedPageBreak/>
        <w:t>Vârsta fondului locativ din Moldova pe an de construcție</w:t>
      </w:r>
      <w:bookmarkEnd w:id="50"/>
      <w:r>
        <w:t xml:space="preserve"> </w:t>
      </w:r>
    </w:p>
    <w:p w14:paraId="13A70047" w14:textId="5B4ABF46" w:rsidR="007D2814" w:rsidRDefault="00DD102F">
      <w:pPr>
        <w:pStyle w:val="IEAFigurePlace"/>
      </w:pPr>
      <w:r>
        <w:rPr>
          <w:noProof/>
          <w:lang w:val="en-US"/>
        </w:rPr>
        <w:drawing>
          <wp:inline distT="0" distB="0" distL="0" distR="0" wp14:anchorId="387F6FE7" wp14:editId="643C4873">
            <wp:extent cx="5543550" cy="2272665"/>
            <wp:effectExtent l="0" t="0" r="0" b="0"/>
            <wp:docPr id="18" name="Imagine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43550" cy="2272665"/>
                    </a:xfrm>
                    <a:prstGeom prst="rect">
                      <a:avLst/>
                    </a:prstGeom>
                    <a:noFill/>
                    <a:ln>
                      <a:noFill/>
                    </a:ln>
                  </pic:spPr>
                </pic:pic>
              </a:graphicData>
            </a:graphic>
          </wp:inline>
        </w:drawing>
      </w:r>
    </w:p>
    <w:p w14:paraId="15F70083" w14:textId="77777777" w:rsidR="007D2814" w:rsidRDefault="00DD102F">
      <w:pPr>
        <w:pStyle w:val="IEAFigureCopyright"/>
        <w:rPr>
          <w:b/>
          <w:bCs/>
        </w:rPr>
      </w:pPr>
      <w:r>
        <w:t>AIE CC BY 4.0</w:t>
      </w:r>
    </w:p>
    <w:p w14:paraId="3FDB6ACC" w14:textId="111D78BA" w:rsidR="007D2814" w:rsidRDefault="00DD102F">
      <w:pPr>
        <w:pStyle w:val="IEASources"/>
      </w:pPr>
      <w:r>
        <w:t xml:space="preserve">Sursă: AIE pe baza datelor furnizate de </w:t>
      </w:r>
      <w:hyperlink r:id="rId76" w:history="1">
        <w:r>
          <w:rPr>
            <w:rStyle w:val="Hyperlink"/>
          </w:rPr>
          <w:t>Biroul Național de Statistică .</w:t>
        </w:r>
      </w:hyperlink>
    </w:p>
    <w:p w14:paraId="76613E0E" w14:textId="77777777" w:rsidR="007D2814" w:rsidRDefault="007D2814">
      <w:pPr>
        <w:pStyle w:val="IEAFigureClosing"/>
      </w:pPr>
    </w:p>
    <w:p w14:paraId="5F9CE4D8" w14:textId="77777777" w:rsidR="007D2814" w:rsidRDefault="00DD102F">
      <w:pPr>
        <w:pStyle w:val="IEABodyText"/>
      </w:pPr>
      <w:r>
        <w:t xml:space="preserve">Eforturile Moldovei de a-și renova fondul locativ învechit au fost puternic împărțite între zonele urbane și cele rurale. Deși locuințele urbane sunt, în medie, ușor mai vechi, aproximativ 76 % au fost supuse unei forme de renovare până în aprilie 2022. În schimb, 76% din locuințele din mediul rural nu au fost renovate deloc. </w:t>
      </w:r>
    </w:p>
    <w:p w14:paraId="210414A1" w14:textId="77777777" w:rsidR="007D2814" w:rsidRDefault="00DD102F">
      <w:pPr>
        <w:pStyle w:val="IEABodyText"/>
      </w:pPr>
      <w:r>
        <w:t>Acest lucru ar trebui înțeles în contextul utilizării energiei, astfel cum s-a discutat anterior. Aproximativ 94 % din gospodăriile rurale se bazează pe sobe individuale pentru încălzire – în principal pe biomasă – în timp ce locuințele urbane depind mai mult de încălzirea centralizată. Gospodăriile rurale din Moldova se pot confrunta cu provocări mai mari în ceea ce privește renovarea locuințelor, ceea ce este deosebit de îngrijorător, având în vedere dependența lor puternică de sobele ineficiente pe bază de biomasă. Acest lucru subliniază necesitatea unor politici specifice de îmbunătățire a locuințelor rurale și de promovare a unor aparate de încălzire mai eficiente.</w:t>
      </w:r>
    </w:p>
    <w:p w14:paraId="34981604" w14:textId="61953224" w:rsidR="007D2814" w:rsidRDefault="00DD102F">
      <w:pPr>
        <w:pStyle w:val="IEAFigureTitle"/>
      </w:pPr>
      <w:bookmarkStart w:id="51" w:name="_Toc198195008"/>
      <w:r>
        <w:lastRenderedPageBreak/>
        <w:t>Fondul locativ cu renovări finalizate până în aprilie 2022 și tipul de lucrări</w:t>
      </w:r>
      <w:bookmarkEnd w:id="51"/>
      <w:r>
        <w:t xml:space="preserve"> </w:t>
      </w:r>
    </w:p>
    <w:p w14:paraId="33B16758" w14:textId="3FFBDE89" w:rsidR="007D2814" w:rsidRDefault="00DD102F">
      <w:r>
        <w:rPr>
          <w:noProof/>
          <w:lang w:val="en-US"/>
        </w:rPr>
        <w:drawing>
          <wp:inline distT="0" distB="0" distL="0" distR="0" wp14:anchorId="565B5170" wp14:editId="111419E9">
            <wp:extent cx="5543550" cy="2342515"/>
            <wp:effectExtent l="0" t="0" r="0" b="0"/>
            <wp:docPr id="19" name="Imagine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543550" cy="2342515"/>
                    </a:xfrm>
                    <a:prstGeom prst="rect">
                      <a:avLst/>
                    </a:prstGeom>
                    <a:noFill/>
                    <a:ln>
                      <a:noFill/>
                    </a:ln>
                  </pic:spPr>
                </pic:pic>
              </a:graphicData>
            </a:graphic>
          </wp:inline>
        </w:drawing>
      </w:r>
    </w:p>
    <w:p w14:paraId="6C12F7A6" w14:textId="77777777" w:rsidR="007D2814" w:rsidRDefault="00DD102F">
      <w:pPr>
        <w:pStyle w:val="IEAFigureCopyright"/>
        <w:rPr>
          <w:b/>
          <w:bCs/>
        </w:rPr>
      </w:pPr>
      <w:r>
        <w:t>AIE CC BY 4.0</w:t>
      </w:r>
    </w:p>
    <w:p w14:paraId="7EA6D47E" w14:textId="3AC900F8" w:rsidR="007D2814" w:rsidRDefault="00DD102F">
      <w:pPr>
        <w:pStyle w:val="IEASources"/>
      </w:pPr>
      <w:r>
        <w:t xml:space="preserve">Sursă: AIE pe baza datelor furnizate de </w:t>
      </w:r>
      <w:hyperlink r:id="rId78" w:history="1">
        <w:r>
          <w:rPr>
            <w:rStyle w:val="Hyperlink"/>
          </w:rPr>
          <w:t>Biroul Național de Statistică .</w:t>
        </w:r>
      </w:hyperlink>
    </w:p>
    <w:p w14:paraId="3F907331" w14:textId="77777777" w:rsidR="007D2814" w:rsidRDefault="007D2814">
      <w:pPr>
        <w:pStyle w:val="IEAFigureClosing"/>
      </w:pPr>
    </w:p>
    <w:p w14:paraId="287B1DC8" w14:textId="77777777" w:rsidR="007D2814" w:rsidRDefault="007D2814"/>
    <w:p w14:paraId="621AB2C7" w14:textId="77777777" w:rsidR="007D2814" w:rsidRDefault="007D2814">
      <w:pPr>
        <w:pStyle w:val="Heading2"/>
        <w:sectPr w:rsidR="007D2814" w:rsidSect="00B833DE">
          <w:headerReference w:type="default" r:id="rId79"/>
          <w:endnotePr>
            <w:numFmt w:val="decimal"/>
            <w:numRestart w:val="eachSect"/>
          </w:endnotePr>
          <w:type w:val="continuous"/>
          <w:pgSz w:w="11906" w:h="16838" w:code="9"/>
          <w:pgMar w:top="1588" w:right="1588" w:bottom="1588" w:left="1588" w:header="709" w:footer="709" w:gutter="0"/>
          <w:cols w:space="708"/>
          <w:docGrid w:linePitch="360"/>
        </w:sectPr>
      </w:pPr>
      <w:bookmarkStart w:id="52" w:name="_Toc198194977"/>
    </w:p>
    <w:p w14:paraId="00BD00CB" w14:textId="58445D7A" w:rsidR="007D2814" w:rsidRDefault="00DD102F">
      <w:pPr>
        <w:pStyle w:val="Heading2"/>
      </w:pPr>
      <w:bookmarkStart w:id="53" w:name="_Toc201571406"/>
      <w:r>
        <w:lastRenderedPageBreak/>
        <w:t>Pompe de căldură în Moldova</w:t>
      </w:r>
      <w:bookmarkEnd w:id="52"/>
      <w:bookmarkEnd w:id="53"/>
    </w:p>
    <w:p w14:paraId="6DD42E6E" w14:textId="77777777" w:rsidR="007D2814" w:rsidRDefault="00DD102F">
      <w:pPr>
        <w:pStyle w:val="IEABodyText"/>
      </w:pPr>
      <w:r>
        <w:t>Acest capitol explorează beneficiile pompelor de căldură și aplicarea lor potențială în Moldova. Acesta discută diferite tipuri de pompe de căldură și aplicații potențiale, apoi analizează beneficiile pompelor de căldură în ceea ce privește eficiența energetică, securitatea energetică, emisiile de gaze cu efect de seră, dezvoltarea economică și aderarea la UE. Capitolul discută apoi starea pompelor de căldură în Moldova și potențialul acestora, abordând aplicațiile pentru care acestea sunt cele mai potrivite în contextul moldovenesc.</w:t>
      </w:r>
    </w:p>
    <w:p w14:paraId="00062522" w14:textId="77777777" w:rsidR="007D2814" w:rsidRDefault="00DD102F">
      <w:pPr>
        <w:pStyle w:val="Heading3"/>
      </w:pPr>
      <w:bookmarkStart w:id="54" w:name="_Toc198194978"/>
      <w:r>
        <w:t>Aplicații ale pompelor de căldură</w:t>
      </w:r>
      <w:bookmarkEnd w:id="54"/>
    </w:p>
    <w:p w14:paraId="06CB290D" w14:textId="73C46ED5" w:rsidR="007D2814" w:rsidRDefault="00DD102F">
      <w:pPr>
        <w:pStyle w:val="IEABodyText"/>
      </w:pPr>
      <w:r>
        <w:t xml:space="preserve">Pompele de căldură au fost recunoscute pe scară largă ca fiind o tehnologie-cheie pentru decarbonizarea încălzirii clădirilor, a industriei și a sistemelor de încălzire centralizată. Scenariile globale și europene, de la Agenția Internațională a Energiei până la Comisia Europeană, recunosc rolul lor esențial în tranziția de la sistemele de încălzire pe bază de combustibili fosili. AIE </w:t>
      </w:r>
      <w:hyperlink r:id="rId80" w:history="1">
        <w:r>
          <w:rPr>
            <w:rStyle w:val="Hyperlink"/>
          </w:rPr>
          <w:t>identifică pompele de căldură</w:t>
        </w:r>
      </w:hyperlink>
      <w:r>
        <w:t xml:space="preserve"> ca fiind „tehnologia centrală” pentru decarbonizarea încălzirii clădirilor.</w:t>
      </w:r>
    </w:p>
    <w:p w14:paraId="3AF284D5" w14:textId="77777777" w:rsidR="007D2814" w:rsidRDefault="00DD102F">
      <w:pPr>
        <w:pStyle w:val="IEABodyText"/>
      </w:pPr>
      <w:r>
        <w:t>Pentru a înțelege beneficiile lor, este necesară o scurtă prezentare generală a funcționării lor. Pompele de căldură sunt diferite de tehnologiile de încălzire prin combustie. În loc să ardă un combustibil, cum ar fi gazele naturale sau granulele de biomasă și să utilizeze căldura de combustie pentru a asigura încălzirea spațiului și a apei, o pompă de căldură utilizează energie electrică pentru a rula un ciclu de compresie a vaporilor care transportă căldura de la o sursă mai rece (căldură ambientală) la o chiuvetă mai caldă. De exemplu, pompa de căldură extrage căldura din aerul rece exterior pentru a furniza aer cald în interiorul unei clădiri. Dacă asigură răcirea, pompa de căldură funcționează în direcția opusă: extrage căldura din aerul cald din interior și o transportă în exterior. Acest proces este posibil folosind un agent frigorific, ale cărui proprietăți îl lasă să se extindă și să se condenseze la temperaturi mai scăzute decât aerul sau apa.</w:t>
      </w:r>
    </w:p>
    <w:p w14:paraId="04DEADDA" w14:textId="77777777" w:rsidR="007D2814" w:rsidRDefault="00DD102F">
      <w:r>
        <w:br w:type="page"/>
      </w:r>
    </w:p>
    <w:p w14:paraId="01FC54F9" w14:textId="77777777" w:rsidR="007D2814" w:rsidRDefault="00DD102F">
      <w:pPr>
        <w:pStyle w:val="IEAFigureTitle"/>
      </w:pPr>
      <w:bookmarkStart w:id="55" w:name="_Toc198195009"/>
      <w:r>
        <w:lastRenderedPageBreak/>
        <w:t>Principiile de funcționare ale unei pompe de căldură</w:t>
      </w:r>
      <w:bookmarkEnd w:id="55"/>
    </w:p>
    <w:p w14:paraId="48547474" w14:textId="77777777" w:rsidR="007D2814" w:rsidRDefault="007D2814"/>
    <w:p w14:paraId="6B044F1F" w14:textId="77777777" w:rsidR="007D2814" w:rsidRDefault="00DD102F">
      <w:pPr>
        <w:pStyle w:val="IEAFigurePlace"/>
      </w:pPr>
      <w:r>
        <w:rPr>
          <w:noProof/>
          <w:lang w:val="en-US"/>
        </w:rPr>
        <w:drawing>
          <wp:inline distT="0" distB="0" distL="0" distR="0" wp14:anchorId="035BF997" wp14:editId="25B604B8">
            <wp:extent cx="5219700" cy="5730949"/>
            <wp:effectExtent l="0" t="0" r="0" b="3175"/>
            <wp:docPr id="1459820075" name="Imaginea 1" descr="Diagram of a heat exchang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20075" name="Imaginea 1" descr="Diagram of a heat exchanger  Description automatically generated"/>
                    <pic:cNvPicPr/>
                  </pic:nvPicPr>
                  <pic:blipFill rotWithShape="1">
                    <a:blip r:embed="rId81"/>
                    <a:srcRect t="5270" b="9021"/>
                    <a:stretch/>
                  </pic:blipFill>
                  <pic:spPr bwMode="auto">
                    <a:xfrm>
                      <a:off x="0" y="0"/>
                      <a:ext cx="5220429" cy="5731749"/>
                    </a:xfrm>
                    <a:prstGeom prst="rect">
                      <a:avLst/>
                    </a:prstGeom>
                    <a:ln>
                      <a:noFill/>
                    </a:ln>
                    <a:extLst>
                      <a:ext uri="{53640926-AAD7-44D8-BBD7-CCE9431645EC}">
                        <a14:shadowObscured xmlns:a14="http://schemas.microsoft.com/office/drawing/2010/main"/>
                      </a:ext>
                    </a:extLst>
                  </pic:spPr>
                </pic:pic>
              </a:graphicData>
            </a:graphic>
          </wp:inline>
        </w:drawing>
      </w:r>
    </w:p>
    <w:p w14:paraId="6CC94ACB" w14:textId="17C70273" w:rsidR="007D2814" w:rsidRDefault="00DD102F">
      <w:pPr>
        <w:pStyle w:val="IEAFigureCopyright"/>
      </w:pPr>
      <w:r>
        <w:t>AIE CC BY 4.0.</w:t>
      </w:r>
    </w:p>
    <w:p w14:paraId="1F5C45F6" w14:textId="202055D0" w:rsidR="007D2814" w:rsidRDefault="00DD102F">
      <w:pPr>
        <w:pStyle w:val="IEASources"/>
      </w:pPr>
      <w:r>
        <w:t xml:space="preserve">Sursă: AIE (2022), </w:t>
      </w:r>
      <w:hyperlink r:id="rId82" w:history="1">
        <w:r>
          <w:rPr>
            <w:rStyle w:val="Hyperlink"/>
          </w:rPr>
          <w:t>The Future of Heat Pumps (Viitorul pompelor de căldură).</w:t>
        </w:r>
      </w:hyperlink>
      <w:r>
        <w:t xml:space="preserve"> </w:t>
      </w:r>
    </w:p>
    <w:p w14:paraId="433E890E" w14:textId="77777777" w:rsidR="007D2814" w:rsidRDefault="007D2814">
      <w:pPr>
        <w:pStyle w:val="IEAFigureClosing"/>
      </w:pPr>
    </w:p>
    <w:p w14:paraId="31F49ED9" w14:textId="77777777" w:rsidR="007D2814" w:rsidRDefault="00DD102F">
      <w:pPr>
        <w:pStyle w:val="Heading4"/>
      </w:pPr>
      <w:r>
        <w:t>Tipuri de pompe de căldură</w:t>
      </w:r>
    </w:p>
    <w:p w14:paraId="107EB251" w14:textId="371B2CAD" w:rsidR="007D2814" w:rsidRDefault="00DD102F">
      <w:pPr>
        <w:pStyle w:val="IEABodyText"/>
      </w:pPr>
      <w:r>
        <w:t xml:space="preserve">Cele mai frecvente pompe de căldură din lume utilizează aerul înconjurător ca sursă de căldură. Pompele de căldură cu sursă de aer pot furniza încălzire fie prin aer (pompe de căldură aer-aer), fie prin apă (pompe de căldură aer-apă). Pompele de căldură aer-aer sunt frecvente în Statele Unite, Canada, Republica Populară Chineză (denumită în continuare „China”), Australia, Norvegia și Suedia, unde furnizează de obicei încălzire (și răcire) prin conducte sau prin instalarea mai multor unități în diferite încăperi ale unei clădiri. </w:t>
      </w:r>
    </w:p>
    <w:p w14:paraId="678B8BD7" w14:textId="77777777" w:rsidR="007D2814" w:rsidRDefault="00DD102F">
      <w:pPr>
        <w:pStyle w:val="IEABodyText"/>
      </w:pPr>
      <w:r>
        <w:lastRenderedPageBreak/>
        <w:t>Pompele de căldură aer-apă – cunoscute și sub denumirea de pompe de căldură hidronice – utilizează un sistem de distribuție pe bază de apă pentru a furniza apă caldă radiatoarelor. Acestea sunt cele mai frecvente în țările care au istoric sisteme de încălzire hidronică pe bază de gaz, cum ar fi Germania, Țările de Jos, Polonia, Regatul Unit, precum și părți din Franța și Italia.</w:t>
      </w:r>
    </w:p>
    <w:p w14:paraId="6F809CB5" w14:textId="77777777" w:rsidR="007D2814" w:rsidRDefault="00DD102F">
      <w:pPr>
        <w:pStyle w:val="IEABodyText"/>
      </w:pPr>
      <w:r>
        <w:t xml:space="preserve">Pompele de căldură utilizează, de asemenea, solul ca sursă de căldură. Aceste dispozitive sunt numite pompe de căldură geotermale sau de la sol și necesită găurirea găurilor adânci sau săparea șanțurilor în sol unde se introduc conductele. Corpurile de apă, cum ar fi lacurile și râurile, pot fi, de asemenea, utilizate ca sursă de căldură pentru pompele de căldură, așa cum se întâmplă din ce în ce mai des în cazul pompelor de căldură de mari dimensiuni utilizate pentru încălzirea centralizată. Căldura reziduală este, de asemenea, o sursă tot mai mare de căldură și se găsește în anumite pompe de căldură industriale. </w:t>
      </w:r>
    </w:p>
    <w:p w14:paraId="3408B148" w14:textId="77777777" w:rsidR="007D2814" w:rsidRDefault="00DD102F">
      <w:pPr>
        <w:pStyle w:val="Heading4"/>
      </w:pPr>
      <w:r>
        <w:t>Pompe de căldură în clădiri</w:t>
      </w:r>
    </w:p>
    <w:p w14:paraId="4C85F5CA" w14:textId="04B6FDB5" w:rsidR="007D2814" w:rsidRDefault="00DD102F">
      <w:pPr>
        <w:pStyle w:val="IEABodyText"/>
      </w:pPr>
      <w:r>
        <w:t xml:space="preserve">Pompele de căldură sunt utilizate pe scară largă pentru a furniza încălzire a spațiului și apă caldă menajeră în clădiri individuale, clădiri rezidențiale multifamiliale și clădiri comerciale mari, printre alte tipologii. Dispozitivele aer-apă și geotermale realizează acest lucru printr-un sistem de distribuție a căldurii, cum ar fi radiatoare sau încălzire prin pardoseală. Sistemele aer-aer utilizează aer forțat, uneori cu un sistem de distribuție a căldurii prin conducte care transferă aerul cald de la puterea pompei de căldură în întreaga clădire. În mod invers, aceste sisteme oferă, de asemenea, răcire și sunt cunoscute sub numele de aparate de aer condiționat. Clădirile sunt de departe cea mai comună aplicație a pompelor de căldură de astăzi: </w:t>
      </w:r>
      <w:hyperlink r:id="rId83" w:history="1">
        <w:r>
          <w:rPr>
            <w:rStyle w:val="Hyperlink"/>
          </w:rPr>
          <w:t>aproximativ 2 milioane au fost vândute în Europa</w:t>
        </w:r>
      </w:hyperlink>
      <w:r>
        <w:t xml:space="preserve"> în 2024, în principal în acest scop.</w:t>
      </w:r>
    </w:p>
    <w:p w14:paraId="4A333008" w14:textId="356C42A4" w:rsidR="007D2814" w:rsidRDefault="00DD102F">
      <w:pPr>
        <w:pStyle w:val="IEABodyText"/>
      </w:pPr>
      <w:r>
        <w:t xml:space="preserve">În </w:t>
      </w:r>
      <w:hyperlink r:id="rId84" w:history="1">
        <w:r>
          <w:rPr>
            <w:rStyle w:val="Hyperlink"/>
          </w:rPr>
          <w:t>întreaga Europă există</w:t>
        </w:r>
      </w:hyperlink>
      <w:r>
        <w:t xml:space="preserve"> exemple de pompe de căldură în clădirile rezidențiale multifamiliale. În Milano (Italia), o pompă de căldură aer-apă de 120 kW asigură încălzirea, apa caldă și filtrarea aerului pentru 21 de apartamente, în timp ce în Lourdes (Franța), trei pompe de căldură aer-apă la temperatură scăzută deservesc 197 de apartamente cu R32, un agent frigorific cu GWP scăzut. În Turek (Polonia), o </w:t>
      </w:r>
      <w:hyperlink r:id="rId85" w:history="1">
        <w:r>
          <w:rPr>
            <w:rStyle w:val="Hyperlink"/>
          </w:rPr>
          <w:t>pompă de căldură geotermală</w:t>
        </w:r>
      </w:hyperlink>
      <w:r>
        <w:t xml:space="preserve"> construită în 2022 furnizează încălzire și apă caldă pentru 24 de apartamente. Mai multe exemple de pompe de căldură în clădirile multifamiliale pot fi găsite pe site-ul web al </w:t>
      </w:r>
      <w:hyperlink r:id="rId86" w:history="1">
        <w:r>
          <w:rPr>
            <w:rStyle w:val="Hyperlink"/>
          </w:rPr>
          <w:t>Programului de colaborare tehnologică al AIE privind tehnologiile de pompare a căldurii.</w:t>
        </w:r>
      </w:hyperlink>
      <w:r>
        <w:t xml:space="preserve"> </w:t>
      </w:r>
    </w:p>
    <w:p w14:paraId="28C68118" w14:textId="77777777" w:rsidR="007D2814" w:rsidRDefault="00DD102F">
      <w:pPr>
        <w:pStyle w:val="Heading4"/>
      </w:pPr>
      <w:r>
        <w:t>Pompe de căldură industriale</w:t>
      </w:r>
    </w:p>
    <w:p w14:paraId="6253358E" w14:textId="72EC9D76" w:rsidR="007D2814" w:rsidRDefault="00DD102F">
      <w:pPr>
        <w:pStyle w:val="IEABodyText"/>
      </w:pPr>
      <w:r>
        <w:t xml:space="preserve">Pompele de căldură industriale oferă căldură de proces la temperatură scăzută. Aceasta are aplicații pentru generarea de apă caldă și abur în multe sectoare, cum ar fi industria alimentară și a băuturilor, precum și industria hârtiei, industria </w:t>
      </w:r>
      <w:r>
        <w:lastRenderedPageBreak/>
        <w:t xml:space="preserve">textilă și industria chimică. </w:t>
      </w:r>
      <w:hyperlink r:id="rId87" w:history="1">
        <w:r>
          <w:rPr>
            <w:rStyle w:val="Hyperlink"/>
          </w:rPr>
          <w:t>Pompele de căldură industriale</w:t>
        </w:r>
      </w:hyperlink>
      <w:r>
        <w:t xml:space="preserve"> pot atinge temperaturi de până la 165 °C – sau chiar mai mari dacă sunt cuplate cu o sursă de căldură reziduală. Multe țări europene </w:t>
      </w:r>
      <w:hyperlink r:id="rId88" w:history="1">
        <w:r>
          <w:rPr>
            <w:rStyle w:val="Hyperlink"/>
          </w:rPr>
          <w:t>oferă subvenții</w:t>
        </w:r>
      </w:hyperlink>
      <w:r>
        <w:t xml:space="preserve"> pentru pompele de căldură industriale.</w:t>
      </w:r>
    </w:p>
    <w:p w14:paraId="2D3A7F80" w14:textId="1456F396" w:rsidR="007D2814" w:rsidRDefault="00DD102F">
      <w:pPr>
        <w:pStyle w:val="IEABodyText"/>
      </w:pPr>
      <w:r>
        <w:t xml:space="preserve">Printre exemplele recente de pompe de căldură industriale din Europa se numără un dispozitiv care produce căldură la 140 °C pentru </w:t>
      </w:r>
      <w:hyperlink r:id="rId89" w:history="1">
        <w:r>
          <w:rPr>
            <w:rStyle w:val="Hyperlink"/>
          </w:rPr>
          <w:t>uscarea pastei de hârtie în Franța, în</w:t>
        </w:r>
      </w:hyperlink>
      <w:r>
        <w:t xml:space="preserve"> timp ce BASF a primit recent finanțare guvernamentală pentru a construi o </w:t>
      </w:r>
      <w:hyperlink r:id="rId90" w:history="1">
        <w:r>
          <w:rPr>
            <w:rStyle w:val="Hyperlink"/>
          </w:rPr>
          <w:t>pompă de căldură industrială care va utiliza căldura reziduală</w:t>
        </w:r>
      </w:hyperlink>
      <w:r>
        <w:t xml:space="preserve"> pentru a produce 500 000 de tone de abur pe an.</w:t>
      </w:r>
    </w:p>
    <w:p w14:paraId="383A0F18" w14:textId="77777777" w:rsidR="007D2814" w:rsidRDefault="00DD102F">
      <w:pPr>
        <w:pStyle w:val="Heading4"/>
      </w:pPr>
      <w:r>
        <w:t>Pompe de căldură în rețelele de termoficare</w:t>
      </w:r>
    </w:p>
    <w:p w14:paraId="2661CB09" w14:textId="77777777" w:rsidR="007D2814" w:rsidRDefault="00DD102F">
      <w:pPr>
        <w:pStyle w:val="IEABodyText"/>
      </w:pPr>
      <w:r>
        <w:t xml:space="preserve">În rețelele de termoficare, pompele de căldură furnizează căldură centrală la temperaturi scăzute, care este apoi distribuită prin rețea pentru a asigura încălzirea spațiului și a apei în clădiri. Pompele de căldură pot înlocui centralele termice pe bază de combustibili fosili din rețelele de termoficare existente, sporind eficiența întregului sistem și reducând în mod semnificativ emisiile de dioxid de carbon ale acestuia. Ele pot servi, de asemenea, ca sursă de încălzire în rețelele nou construite. </w:t>
      </w:r>
    </w:p>
    <w:p w14:paraId="10B6DE68" w14:textId="299B7E5A" w:rsidR="007D2814" w:rsidRDefault="00DD102F">
      <w:pPr>
        <w:pStyle w:val="IEABodyText"/>
      </w:pPr>
      <w:r>
        <w:t xml:space="preserve">Rețelele de termoficare din Suedia funcționează </w:t>
      </w:r>
      <w:hyperlink r:id="rId91" w:history="1">
        <w:r>
          <w:rPr>
            <w:rStyle w:val="Hyperlink"/>
          </w:rPr>
          <w:t>în mare parte cu pompe de căldură care utilizează apa de mare</w:t>
        </w:r>
      </w:hyperlink>
      <w:r>
        <w:t xml:space="preserve"> ca sursă de căldură. În Köln, </w:t>
      </w:r>
      <w:r w:rsidR="00F838D5">
        <w:t xml:space="preserve">Germania, </w:t>
      </w:r>
      <w:r>
        <w:t xml:space="preserve">o pompă de căldură de 150 MW a fost pusă în funcțiune în decembrie 2024, funcționând pe râul Rhein și </w:t>
      </w:r>
      <w:hyperlink r:id="rId92" w:history="1">
        <w:r>
          <w:rPr>
            <w:rStyle w:val="Hyperlink"/>
          </w:rPr>
          <w:t>furnizând căldură centralizată</w:t>
        </w:r>
      </w:hyperlink>
      <w:r>
        <w:t xml:space="preserve"> unui număr de aproximativ 50 000 de gospodării. </w:t>
      </w:r>
    </w:p>
    <w:p w14:paraId="527EEFDB" w14:textId="06BCBF98" w:rsidR="007D2814" w:rsidRDefault="00DD102F">
      <w:pPr>
        <w:pStyle w:val="IEABodyText"/>
      </w:pPr>
      <w:r>
        <w:t>Cu toate acestea, având în vedere starea rețelelor din Moldova, instalarea pompelor de căldură pentru încălzirea centralizată prezintă provocări tehnice semnificative. Astfel de sisteme furnizează, de regulă, căldură la temperatură scăzută – necesitând astfel modernizări semnificative ale rețele</w:t>
      </w:r>
      <w:r w:rsidR="00F838D5">
        <w:t>lor</w:t>
      </w:r>
      <w:r>
        <w:t xml:space="preserve"> termice din Moldova, precum și clădiri mai eficiente din punct de vedere energetic dotate cu echipamente (de exemplu, radiatoare și mecanisme de distribuție a căldurii) care pot funcționa la temperaturi mai scăzute. Prin urmare, o modernizare semnificativă a infrastructurii de încălzire centralizată din Moldova este esențială. </w:t>
      </w:r>
    </w:p>
    <w:p w14:paraId="6AC4879D" w14:textId="0286A5D9" w:rsidR="007D2814" w:rsidRDefault="00DD102F">
      <w:pPr>
        <w:pStyle w:val="IEABodyText"/>
        <w:rPr>
          <w:color w:val="FF0000"/>
        </w:rPr>
      </w:pPr>
      <w:r>
        <w:t>Dependența puternică a Moldovei de centralele de cogenerare (C</w:t>
      </w:r>
      <w:r w:rsidR="00F838D5">
        <w:t>ET</w:t>
      </w:r>
      <w:r>
        <w:t xml:space="preserve">) pentru încălzirea centralizată oferă opțiuni suplimentare. Cercetătorii au analizat posibilitatea </w:t>
      </w:r>
      <w:hyperlink r:id="rId93" w:history="1">
        <w:r>
          <w:rPr>
            <w:rStyle w:val="Hyperlink"/>
          </w:rPr>
          <w:t>utilizării pompelor de căldură pentru preîncălzirea apei pentru încălzirea centralizată</w:t>
        </w:r>
      </w:hyperlink>
      <w:r>
        <w:t xml:space="preserve"> în orașul Bălți, de exemplu, constatând că acest lucru îmbunătățește eficiența energetică și reduce emisiile de CO2.</w:t>
      </w:r>
      <w:r>
        <w:rPr>
          <w:vertAlign w:val="subscript"/>
        </w:rPr>
        <w:t xml:space="preserve"> </w:t>
      </w:r>
      <w:r>
        <w:t xml:space="preserve"> Industria sugerează că pompele de căldură industriale de mari dimensiuni ar putea fi utilizate pentru a crește eficiența, a reduce consumul de gaze naturale și a reduce emisiile de gaze cu efect de seră ale centralelor de cogenerare existente. Aceste pompe de căldură </w:t>
      </w:r>
      <w:r>
        <w:lastRenderedPageBreak/>
        <w:t>ar putea funcționa pe căldură reziduală, surse de apă sau altă sursă de energie adecvată, în funcție de locație.</w:t>
      </w:r>
    </w:p>
    <w:p w14:paraId="109370D3" w14:textId="7042190D" w:rsidR="007D2814" w:rsidRDefault="00DD102F">
      <w:pPr>
        <w:pStyle w:val="IEABodyText"/>
      </w:pPr>
      <w:r>
        <w:t xml:space="preserve">PNEC al Moldovei include, de asemenea, măsuri de integrare a pompelor de căldură în </w:t>
      </w:r>
      <w:r w:rsidR="00F838D5">
        <w:t xml:space="preserve">sistemele de alimentare centralizată cu energie </w:t>
      </w:r>
      <w:r>
        <w:t>term</w:t>
      </w:r>
      <w:r w:rsidR="00F838D5">
        <w:t>ică</w:t>
      </w:r>
      <w:r>
        <w:t xml:space="preserve">, cu un accent deosebit pe pompele de căldură cu recuperare de căldură din surse terestre, apă-apă și reziduală. PNEC vizează integrarea pompelor de căldură de 7 MW în cele două </w:t>
      </w:r>
      <w:r w:rsidR="00F838D5">
        <w:t xml:space="preserve">sisteme principale de alimentare centralizată cu energie </w:t>
      </w:r>
      <w:r>
        <w:t>termic</w:t>
      </w:r>
      <w:r w:rsidR="00F838D5">
        <w:t>ă</w:t>
      </w:r>
      <w:r>
        <w:t xml:space="preserve"> ale țării, CET Nord și Termoelectrica. </w:t>
      </w:r>
    </w:p>
    <w:p w14:paraId="4B1835FE" w14:textId="77777777" w:rsidR="007D2814" w:rsidRDefault="007D2814">
      <w:pPr>
        <w:pStyle w:val="IEABodyText"/>
      </w:pPr>
    </w:p>
    <w:p w14:paraId="1667C156" w14:textId="17FB8DC9" w:rsidR="007D2814" w:rsidRDefault="00DD102F">
      <w:r>
        <w:br w:type="page"/>
      </w:r>
    </w:p>
    <w:p w14:paraId="00ABF66C" w14:textId="6B1D460B" w:rsidR="007D2814" w:rsidRDefault="00DD102F">
      <w:pPr>
        <w:pStyle w:val="Heading3"/>
      </w:pPr>
      <w:r>
        <w:lastRenderedPageBreak/>
        <w:t xml:space="preserve">Beneficiile pompelor de căldură pentru Moldova </w:t>
      </w:r>
    </w:p>
    <w:p w14:paraId="601945BB" w14:textId="77777777" w:rsidR="007D2814" w:rsidRDefault="00DD102F">
      <w:pPr>
        <w:pStyle w:val="Heading4"/>
      </w:pPr>
      <w:r>
        <w:t>Eficiență și economii de energie</w:t>
      </w:r>
    </w:p>
    <w:p w14:paraId="4494EF20" w14:textId="77777777" w:rsidR="007D2814" w:rsidRDefault="00DD102F">
      <w:pPr>
        <w:pStyle w:val="IEABodyText"/>
      </w:pPr>
      <w:r>
        <w:t xml:space="preserve">Un avantaj cheie al pompelor de căldură este eficiența lor în comparație cu tehnologiile convenționale de încălzire. Cele mai noi modele de dispozitive de încălzire cu combustie sunt de obicei în jur de 95% eficiente: pentru fiecare 100 de unități de combustibil pe care le consumă, acestea produc 95 de unități de căldură. Pompele de căldură tipice ating un coeficient de performanță de 3-4: pentru fiecare 100 de unități de energie electrică pe care le consumă, acestea furnizează aproximativ 300-400 de unități de căldură. </w:t>
      </w:r>
    </w:p>
    <w:p w14:paraId="20A67BEA" w14:textId="77777777" w:rsidR="007D2814" w:rsidRDefault="00DD102F">
      <w:pPr>
        <w:pStyle w:val="IEABodyText"/>
      </w:pPr>
      <w:r>
        <w:t>Aceasta înseamnă că înlocuirea unui sistem de încălzire pe bază de combustibili fosili cu o pompă de căldură va duce la economii de energie de aproximativ 80 % la nivelul dispozitivului. Pompele de căldură sunt eligibile pentru numeroase scheme de obligații în materie de eficiență energetică în țările europene și contribuie la atingerea obiectivelor naționale și europene în materie de eficiență energetică.</w:t>
      </w:r>
    </w:p>
    <w:p w14:paraId="2DEC78F4" w14:textId="6B258DB2" w:rsidR="007D2814" w:rsidRDefault="00F838D5">
      <w:pPr>
        <w:pStyle w:val="IEABodyText"/>
      </w:pPr>
      <w:r>
        <w:t xml:space="preserve">Valorificarea </w:t>
      </w:r>
      <w:r w:rsidR="00DD102F">
        <w:t xml:space="preserve">tot mai mare a energiei eoliene și solare în Moldova creează, de asemenea, oportunități pentru un sistem energetic mai eficient bazat pe pompe de căldură. Acest lucru se datorează faptului că pompele de căldură se pot integra în mod eficace într-un sistem energetic bazat pe surse regenerabile variabile, oferind o sursă importantă de flexibilitate în perioadele de producție scăzută și ridicată. Utilizarea flexibilă a pompelor de căldură poate contribui, de asemenea, la fiabilitatea rețelei, pe măsură ce ponderea energiei din surse regenerabile variabile crește. </w:t>
      </w:r>
    </w:p>
    <w:p w14:paraId="63E90447" w14:textId="77777777" w:rsidR="007D2814" w:rsidRDefault="00DD102F">
      <w:pPr>
        <w:pStyle w:val="Heading4"/>
      </w:pPr>
      <w:r>
        <w:t>Emisii de gaze cu efect de seră</w:t>
      </w:r>
    </w:p>
    <w:p w14:paraId="7D55F740" w14:textId="0B68E32D" w:rsidR="007D2814" w:rsidRDefault="00DD102F">
      <w:pPr>
        <w:pStyle w:val="IEABodyText"/>
      </w:pPr>
      <w:r>
        <w:t xml:space="preserve">Pompele de căldură generează, de obicei, emisii de gaze cu efect de seră mai </w:t>
      </w:r>
      <w:r w:rsidR="00F838D5">
        <w:t xml:space="preserve">mici </w:t>
      </w:r>
      <w:r>
        <w:t xml:space="preserve">decât omologii lor din combustibilii fosili. Căldura ambiantă utilizată de o pompă de căldură este o sursă de energie regenerabilă, fără emisii. În timp ce energia electrică utilizată pentru funcționarea pompei de căldură poate fi asociată cu emisii, eficiența pompei înseamnă că fiecare unitate de căldură produsă va necesita mai puține emisii. Chiar și atunci când </w:t>
      </w:r>
      <w:r w:rsidR="00103027">
        <w:t xml:space="preserve">energia electrică livrată prin </w:t>
      </w:r>
      <w:r>
        <w:t xml:space="preserve">rețelele electrice se bazează în mare măsură pe </w:t>
      </w:r>
      <w:r w:rsidR="00103027">
        <w:t xml:space="preserve">energie electrică produsă din </w:t>
      </w:r>
      <w:r>
        <w:t xml:space="preserve">combustibili fosili, utilizarea pompelor de căldură eficiente poate reduce în cele din urmă emisiile. </w:t>
      </w:r>
    </w:p>
    <w:p w14:paraId="65FB3BD2" w14:textId="0811C782" w:rsidR="007D2814" w:rsidRDefault="00DD102F">
      <w:pPr>
        <w:pStyle w:val="IEABodyText"/>
      </w:pPr>
      <w:r>
        <w:t>Ca atare, este probabil ca utilizarea pompelor de căldură să reducă rapid emisiile de gaze cu efect de seră ale oricărei țări, în special decarbonizând în același timp aprovizionarea cu energie electrică. În Moldova, înlocuirea unui cazan pe gaz</w:t>
      </w:r>
      <w:r w:rsidR="00D1207C">
        <w:t>e</w:t>
      </w:r>
      <w:r w:rsidR="00103027">
        <w:t xml:space="preserve"> </w:t>
      </w:r>
      <w:r w:rsidR="00D1207C">
        <w:lastRenderedPageBreak/>
        <w:t>na</w:t>
      </w:r>
      <w:r w:rsidR="00103027">
        <w:t>turale</w:t>
      </w:r>
      <w:r>
        <w:t xml:space="preserve"> cu o pompă de căldură ar reduce probabil emisiile la jumătate, în timp ce înlocuirea unei sobe pe peleți din biomasă le-ar reduce de aproximativ patru ori (având în vedere rețeaua electrică cu emisii ridicate de dioxid de carbon a țării, care a fost în medie de aproximativ 400 kg CO</w:t>
      </w:r>
      <w:r>
        <w:rPr>
          <w:vertAlign w:val="subscript"/>
        </w:rPr>
        <w:t>2</w:t>
      </w:r>
      <w:r>
        <w:t xml:space="preserve">eq/MWh în perioada 2018-2023). Deși majoritatea emisiilor de gaze cu efect de seră generate de sobele cu peleți pot fi considerate neutre din punctul de vedere al emisiilor de dioxid de carbon (a se vedea suprafața umbrită din figura de mai jos), acest lucru depinde de activitatea din sectoarele exploatării terenurilor, schimbării destinației terenurilor și silviculturii (LULUCF). Începând din 2021, sectorul LULUCF din Moldova </w:t>
      </w:r>
      <w:hyperlink r:id="rId94" w:history="1">
        <w:r>
          <w:rPr>
            <w:rStyle w:val="Hyperlink"/>
          </w:rPr>
          <w:t>a trecut de la un absorbant de carbon la o sursă de carbon.</w:t>
        </w:r>
      </w:hyperlink>
      <w:r>
        <w:t xml:space="preserve"> Dacă această tendință continuă, extinderea soluțiilor de încălzire pe bază de biomasă ar crește probabil emisiile. </w:t>
      </w:r>
    </w:p>
    <w:p w14:paraId="7232E4F1" w14:textId="77777777" w:rsidR="007D2814" w:rsidRDefault="00DD102F">
      <w:pPr>
        <w:pStyle w:val="IEAFigureTitle"/>
      </w:pPr>
      <w:bookmarkStart w:id="56" w:name="_Toc198195010"/>
      <w:r>
        <w:t>Emisiile de gaze cu efect de seră per unitate de putere termică utilă în Moldova</w:t>
      </w:r>
      <w:bookmarkEnd w:id="56"/>
    </w:p>
    <w:p w14:paraId="00AB5F69" w14:textId="18F31B10" w:rsidR="007D2814" w:rsidRDefault="00DD102F">
      <w:pPr>
        <w:pStyle w:val="IEAFigurePlace"/>
      </w:pPr>
      <w:r>
        <w:rPr>
          <w:noProof/>
          <w:lang w:val="en-US"/>
        </w:rPr>
        <w:drawing>
          <wp:inline distT="0" distB="0" distL="0" distR="0" wp14:anchorId="15042281" wp14:editId="77A75589">
            <wp:extent cx="5543550" cy="2279650"/>
            <wp:effectExtent l="0" t="0" r="0" b="0"/>
            <wp:docPr id="21" name="Imagine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43550" cy="2279650"/>
                    </a:xfrm>
                    <a:prstGeom prst="rect">
                      <a:avLst/>
                    </a:prstGeom>
                    <a:noFill/>
                    <a:ln>
                      <a:noFill/>
                    </a:ln>
                  </pic:spPr>
                </pic:pic>
              </a:graphicData>
            </a:graphic>
          </wp:inline>
        </w:drawing>
      </w:r>
    </w:p>
    <w:p w14:paraId="1C5C4486" w14:textId="77777777" w:rsidR="007D2814" w:rsidRDefault="00DD102F">
      <w:pPr>
        <w:pStyle w:val="IEAFigureCopyright"/>
        <w:rPr>
          <w:b/>
          <w:bCs/>
        </w:rPr>
      </w:pPr>
      <w:r>
        <w:t>AIE CC BY 4.0</w:t>
      </w:r>
    </w:p>
    <w:p w14:paraId="1ABD8A2B" w14:textId="6D3F7714" w:rsidR="007D2814" w:rsidRDefault="00DD102F">
      <w:pPr>
        <w:pStyle w:val="IEASources"/>
      </w:pPr>
      <w:r>
        <w:t>Observații: Include numai emisiile estimate de CH</w:t>
      </w:r>
      <w:r>
        <w:rPr>
          <w:vertAlign w:val="subscript"/>
        </w:rPr>
        <w:t>4</w:t>
      </w:r>
      <w:r>
        <w:t xml:space="preserve"> și N</w:t>
      </w:r>
      <w:r>
        <w:rPr>
          <w:vertAlign w:val="subscript"/>
        </w:rPr>
        <w:t>2</w:t>
      </w:r>
      <w:r>
        <w:t>O generate de biocombustibili. Media emisiilor de energie electrică din rețea pe 12 luni (februarie 2024-februarie 2025): 416 kgCO</w:t>
      </w:r>
      <w:r>
        <w:rPr>
          <w:vertAlign w:val="subscript"/>
        </w:rPr>
        <w:t>2</w:t>
      </w:r>
      <w:r>
        <w:t>eq/MWh. *Suprafața hașurată reprezintă emisiile de CO2 provenite din utilizarea biomasei care sunt contabilizate în cadrul exploatării terenurilor, schimbării destinației terenurilor și silviculturii (LULUCF). Emisiile de CH</w:t>
      </w:r>
      <w:r>
        <w:rPr>
          <w:vertAlign w:val="subscript"/>
        </w:rPr>
        <w:t>4</w:t>
      </w:r>
      <w:r>
        <w:t xml:space="preserve"> și NOx provenite din ardere sunt luate în considerare la calcularea valorilor CO2eq.</w:t>
      </w:r>
    </w:p>
    <w:p w14:paraId="11B98BAE" w14:textId="42888004" w:rsidR="007D2814" w:rsidRDefault="00DD102F">
      <w:pPr>
        <w:pStyle w:val="IEASources"/>
      </w:pPr>
      <w:r>
        <w:t xml:space="preserve">Sursă: AIE pe baza datelor furnizate de </w:t>
      </w:r>
      <w:hyperlink r:id="rId96" w:history="1">
        <w:r>
          <w:rPr>
            <w:rStyle w:val="Hyperlink"/>
          </w:rPr>
          <w:t>GOV.UK</w:t>
        </w:r>
      </w:hyperlink>
      <w:r>
        <w:t xml:space="preserve"> și </w:t>
      </w:r>
      <w:hyperlink r:id="rId97" w:history="1">
        <w:r>
          <w:rPr>
            <w:rStyle w:val="Hyperlink"/>
          </w:rPr>
          <w:t>Xu et. al</w:t>
        </w:r>
      </w:hyperlink>
      <w:r>
        <w:t>.</w:t>
      </w:r>
    </w:p>
    <w:p w14:paraId="39EBE787" w14:textId="77777777" w:rsidR="007D2814" w:rsidRDefault="007D2814">
      <w:pPr>
        <w:pStyle w:val="IEAFigureClosing"/>
      </w:pPr>
    </w:p>
    <w:p w14:paraId="746A6404" w14:textId="77777777" w:rsidR="007D2814" w:rsidRDefault="00DD102F">
      <w:pPr>
        <w:pStyle w:val="Heading4"/>
      </w:pPr>
      <w:r>
        <w:t>Poluarea aerului la nivel local</w:t>
      </w:r>
    </w:p>
    <w:p w14:paraId="308BE9D6" w14:textId="4106DDEE" w:rsidR="007D2814" w:rsidRDefault="00DD102F">
      <w:pPr>
        <w:pStyle w:val="IEABodyText"/>
        <w:rPr>
          <w:color w:val="FF0000"/>
        </w:rPr>
      </w:pPr>
      <w:r>
        <w:t xml:space="preserve">Pompele de căldură nu produc emisii locale în timpul funcționării, ceea ce duce la o poluare mai scăzută a aerului în comparație cu dispozitivele de încălzire pe bază de combustibili fosili. În schimb, arderea biomasei este o sursă semnificativă de poluare în Moldova: aproximativ 12,5 % din poluarea aerului cu particule fine în suspensie (PM2,5) este </w:t>
      </w:r>
      <w:hyperlink r:id="rId98" w:history="1">
        <w:r>
          <w:rPr>
            <w:rStyle w:val="Hyperlink"/>
          </w:rPr>
          <w:t>legată de arderea lemnului de foc și a</w:t>
        </w:r>
      </w:hyperlink>
      <w:r>
        <w:t xml:space="preserve"> cărbunelui pentru încălzirea spațiului și a apei. Orice poluare asociată ciclului de viață al pompelor de căldură este produsă fie în timpul fabricării acestora, fie în timpul producerii energiei electrice utilizate pentru alimentarea acestora. De asemenea, ar trebui remarcat faptul că multe modele de pompe de căldură utilizează, de asemenea, </w:t>
      </w:r>
      <w:r>
        <w:lastRenderedPageBreak/>
        <w:t xml:space="preserve">gaze fluorurate ca agenți frigorifici – gaze cu efect de seră puternice care prezintă propriile riscuri climatice. Cu toate acestea, manipularea și eliminarea corespunzătoare pot </w:t>
      </w:r>
      <w:hyperlink r:id="rId99" w:history="1">
        <w:r>
          <w:rPr>
            <w:rStyle w:val="Hyperlink"/>
          </w:rPr>
          <w:t>reduce la minimum efectele acestora,</w:t>
        </w:r>
      </w:hyperlink>
      <w:r>
        <w:t xml:space="preserve"> iar agenți frigorifici alternativi sunt disponibili ca înlocuitori.</w:t>
      </w:r>
      <w:r>
        <w:rPr>
          <w:color w:val="FF0000"/>
        </w:rPr>
        <w:t xml:space="preserve"> </w:t>
      </w:r>
    </w:p>
    <w:p w14:paraId="02967E4E" w14:textId="77777777" w:rsidR="007D2814" w:rsidRDefault="00DD102F">
      <w:pPr>
        <w:pStyle w:val="Heading4"/>
      </w:pPr>
      <w:r>
        <w:t>Securitatea energetică</w:t>
      </w:r>
    </w:p>
    <w:p w14:paraId="6278155B" w14:textId="1CF4DE28" w:rsidR="007D2814" w:rsidRDefault="00DD102F">
      <w:pPr>
        <w:pStyle w:val="IEABodyText"/>
      </w:pPr>
      <w:r>
        <w:t xml:space="preserve">Reducerea utilizării combustibililor fosili </w:t>
      </w:r>
      <w:r w:rsidR="002A1AFD">
        <w:t>pentru</w:t>
      </w:r>
      <w:r>
        <w:t xml:space="preserve"> încălzire este esențială pentru abordarea riscurilor la adresa securității energetice, în special în țările care se bazează în mare măsură pe importurile de combustibili fosili, cum ar fi Moldova. Pompele de căldură pot contribui la reorientarea rapidă a cererii de încălzire a Moldovei de la gazele naturale, un risc deosebit de important, deoarece marea majoritate a gazelor naturale sunt utilizate în gospodării pentru încălzirea locuințelor. Eliminarea treptată a cărbunelui pentru încălzire va contribui, de asemenea, în mare măsură la îmbunătățirea calității aerului, precum și a securității energetice.</w:t>
      </w:r>
    </w:p>
    <w:p w14:paraId="33D8258B" w14:textId="6B5AF809" w:rsidR="007D2814" w:rsidRDefault="00DD102F">
      <w:pPr>
        <w:pStyle w:val="IEABodyText"/>
      </w:pPr>
      <w:r>
        <w:t xml:space="preserve">Cu toate acestea, trecerea la pompele de căldură poate crește riscurile altor preocupări în materie de securitate energetică, inclusiv în ceea ce privește alimentarea cu energie electrică încordată, </w:t>
      </w:r>
      <w:r w:rsidR="002A1AFD">
        <w:t xml:space="preserve">congestii fizice  în </w:t>
      </w:r>
      <w:r>
        <w:t xml:space="preserve"> rețea</w:t>
      </w:r>
      <w:r w:rsidR="002A1AFD">
        <w:t>ua electrică</w:t>
      </w:r>
      <w:r>
        <w:t xml:space="preserve"> sau întreruperile </w:t>
      </w:r>
      <w:r w:rsidR="002A1AFD">
        <w:t xml:space="preserve">în aprovizionarea </w:t>
      </w:r>
      <w:r>
        <w:t xml:space="preserve"> cu energie electrică. Putem estima aproximativ că înlocuirea gazelor naturale și a cărbunelui pentru încălzirea spațiilor și a apei în clădiri (aproximativ 8,55 PJ de energie) cu pompe de căldură care funcționează la un coeficient sezonier de performanță (COP) de 3 ar crește cererea de energie electrică cu aproximativ 2,85 PJ. Aceasta este echivalentă cu aproximativ 10 % din cererea totală de energie electrică a Moldovei în 2022 (25,6 PJ) și cu 20 % din cererea de energie electrică a clădirilor (11,4 PJ). </w:t>
      </w:r>
    </w:p>
    <w:p w14:paraId="06251C0B" w14:textId="5B5305AE" w:rsidR="007D2814" w:rsidRDefault="00DD102F">
      <w:pPr>
        <w:pStyle w:val="IEABodyText"/>
        <w:rPr>
          <w:rFonts w:ascii="Aptos" w:hAnsi="Aptos"/>
        </w:rPr>
      </w:pPr>
      <w:r>
        <w:t xml:space="preserve">Acest risc poate fi pronunțat în timpul lunilor mai reci, când cererea de încălzire atinge vârful, performanța pompei de căldură scade, iar rețeaua electrică este supusă unei presiuni tot mai mari. Pompele de căldură cu climat rece pot fi o soluție, menținând o performanță ridicată chiar și la temperaturi de până la -25 °C. Clădirile eficiente, împreună cu flexibilitatea cererii, pot contribui la </w:t>
      </w:r>
      <w:hyperlink r:id="rId100" w:history="1">
        <w:r>
          <w:rPr>
            <w:rStyle w:val="Hyperlink"/>
          </w:rPr>
          <w:t>asigurarea funcționării normale a rețelei electrice</w:t>
        </w:r>
      </w:hyperlink>
      <w:r>
        <w:t xml:space="preserve"> </w:t>
      </w:r>
      <w:hyperlink r:id="rId101" w:history="1">
        <w:r>
          <w:rPr>
            <w:rStyle w:val="Hyperlink"/>
          </w:rPr>
          <w:t>în aceste perioade de vârf.</w:t>
        </w:r>
      </w:hyperlink>
    </w:p>
    <w:p w14:paraId="58B17D9A" w14:textId="77777777" w:rsidR="007D2814" w:rsidRDefault="00DD102F">
      <w:pPr>
        <w:pStyle w:val="Heading4"/>
      </w:pPr>
      <w:r>
        <w:t>Dezvoltarea economică și crearea de locuri de muncă</w:t>
      </w:r>
    </w:p>
    <w:p w14:paraId="2C2C7236" w14:textId="79A565DD" w:rsidR="007D2814" w:rsidRDefault="00DD102F">
      <w:pPr>
        <w:pStyle w:val="IEABodyText"/>
      </w:pPr>
      <w:r>
        <w:t xml:space="preserve">Un alt beneficiu important al pompelor de căldură este dezvoltarea economică și crearea de locuri de muncă. AIE prevede o </w:t>
      </w:r>
      <w:hyperlink r:id="rId102" w:history="1">
        <w:r>
          <w:rPr>
            <w:rStyle w:val="Hyperlink"/>
          </w:rPr>
          <w:t>creștere de aproape trei ori</w:t>
        </w:r>
      </w:hyperlink>
      <w:r>
        <w:t xml:space="preserve"> a forței de muncă la nivel mondial în domeniul pompelor de căldură, ajungând la 1,3 milioane de lucrători până în 2030 – determinată în special de cererea de instalatori de pompe de căldură. Se consideră că deficitul actual de instalatori calificați a creat blocaje în lanțul de aprovizionare cu pompe de căldură, conducând în cele din urmă la creșterea prețurilor. Formarea unei forțe de muncă calificate va fi esențială </w:t>
      </w:r>
      <w:r>
        <w:lastRenderedPageBreak/>
        <w:t>pentru Moldova și ar putea deschide noi căi de creștere a locurilor de muncă. Moldova ar putea, de asemenea, să-și consolideze economia prin investiții în producția de pompe de căldură, asigurarea locurilor de muncă locale și, eventual, vizarea Uniunii Europene ca piață de export, unde cererea este de așteptat să crească semnificativ.</w:t>
      </w:r>
    </w:p>
    <w:p w14:paraId="40263F5C" w14:textId="77777777" w:rsidR="007D2814" w:rsidRDefault="00DD102F">
      <w:pPr>
        <w:pStyle w:val="Heading4"/>
      </w:pPr>
      <w:r>
        <w:t>Reducerea sărăciei energetice</w:t>
      </w:r>
    </w:p>
    <w:p w14:paraId="165979AD" w14:textId="4E1210F3" w:rsidR="007D2814" w:rsidRDefault="00DD102F">
      <w:pPr>
        <w:pStyle w:val="IEABodyText"/>
      </w:pPr>
      <w:r>
        <w:t xml:space="preserve">Moldova </w:t>
      </w:r>
      <w:hyperlink r:id="rId103" w:history="1">
        <w:r>
          <w:rPr>
            <w:rStyle w:val="Hyperlink"/>
          </w:rPr>
          <w:t>definește sărăcia energetică</w:t>
        </w:r>
      </w:hyperlink>
      <w:r>
        <w:t xml:space="preserve"> ca o situație în care consumatorul nu are acces la surse și tehnologii moderne de energie sau are o putere de cumpărare insuficientă pentru sursele de energie sau nu are confort termic acasă. PNEC reiterează obiectivele din Strategia națională de dezvoltare a Moldovei pentru 2022 (Moldova Europeană 2030) de reducere a sărăciei energetice, vizând în special reducerea nivelurilor absolute de sărăcie cu cel puțin 50 % până în 2030. </w:t>
      </w:r>
    </w:p>
    <w:p w14:paraId="019D9FBE" w14:textId="2E5B6BC8" w:rsidR="007D2814" w:rsidRDefault="00DD102F">
      <w:pPr>
        <w:pStyle w:val="IEABodyText"/>
      </w:pPr>
      <w:r>
        <w:t xml:space="preserve">În Moldova, gospodăriile rurale </w:t>
      </w:r>
      <w:hyperlink r:id="rId104" w:history="1">
        <w:r>
          <w:rPr>
            <w:rStyle w:val="Hyperlink"/>
          </w:rPr>
          <w:t>se confruntă cu o povară mai mare a costurilor cu energia</w:t>
        </w:r>
      </w:hyperlink>
      <w:r>
        <w:t xml:space="preserve"> decât cele urbane, cheltuind aproximativ 11,8% din venitul disponibil, comparativ cu 9,6%. Acest lucru face ca gospodăriile rurale să fie mai vulnerabile la șocurile prețurilor. Între timp, gospodăriile din Republica Moldova cu încălzire centralizată </w:t>
      </w:r>
      <w:hyperlink r:id="rId105" w:history="1">
        <w:r>
          <w:rPr>
            <w:rStyle w:val="Hyperlink"/>
          </w:rPr>
          <w:t>tind să înregistreze o incidență mai mică a</w:t>
        </w:r>
      </w:hyperlink>
      <w:r>
        <w:t xml:space="preserve"> sărăciei energetice (2% până la 5% din populație) comparativ cu cele cu sisteme individuale de încălzire, cum ar fi gazele naturale sau biomasa (10% până la 17%).</w:t>
      </w:r>
    </w:p>
    <w:p w14:paraId="1705F0DA" w14:textId="77777777" w:rsidR="007D2814" w:rsidRDefault="00DD102F">
      <w:pPr>
        <w:pStyle w:val="IEABodyText"/>
      </w:pPr>
      <w:r>
        <w:t>Pompele de căldură pot contribui la reducerea sărăciei energetice prin utilizarea eficientă a energiei electrice în aplicații individuale, precum și în rețelele de termoficare, ambele având tendința de a fi asociate cu rate mai scăzute ale sărăciei energetice. După cum se va discuta, reducerea sărăciei energetice cu ajutorul pompelor de căldură depinde de reechilibrarea prețurilor la energie și de asigurarea unei performanțe optime a pompelor de căldură.</w:t>
      </w:r>
    </w:p>
    <w:p w14:paraId="59F590D8" w14:textId="77777777" w:rsidR="007D2814" w:rsidRDefault="00DD102F">
      <w:pPr>
        <w:pStyle w:val="Heading4"/>
      </w:pPr>
      <w:r>
        <w:t>Integrarea în Uniunea Europeană</w:t>
      </w:r>
    </w:p>
    <w:p w14:paraId="3CC295E8" w14:textId="12D4BE61" w:rsidR="007D2814" w:rsidRDefault="00DD102F">
      <w:pPr>
        <w:pStyle w:val="IEABodyText"/>
      </w:pPr>
      <w:r>
        <w:t xml:space="preserve">Moldova a început negocierile de aderare deschise cu Uniunea Europeană în decembrie 2023. Referendumul său reușit din noiembrie 2024 subliniază angajamentul țării de a adera la bloc. Evidențierea unei căi eficiente de decarbonizare a consumului său de energie este o condiție prealabilă, iar pompele de căldură pot contribui în acest sens, precum și la îndeplinirea de către Moldova a angajamentelor asumate în temeiul </w:t>
      </w:r>
      <w:hyperlink r:id="rId106" w:history="1">
        <w:r>
          <w:rPr>
            <w:rStyle w:val="Hyperlink"/>
          </w:rPr>
          <w:t>Tratatului de instituire a Comunității Energ</w:t>
        </w:r>
        <w:r w:rsidR="002A1AFD">
          <w:rPr>
            <w:rStyle w:val="Hyperlink"/>
          </w:rPr>
          <w:t>etice</w:t>
        </w:r>
        <w:r>
          <w:rPr>
            <w:rStyle w:val="Hyperlink"/>
          </w:rPr>
          <w:t>.</w:t>
        </w:r>
      </w:hyperlink>
      <w:r>
        <w:t xml:space="preserve"> O abordare orientată spre viitor a producției de pompe de căldură poate contribui, de asemenea, la consolidarea statutului Moldovei de țară candidată la aderare, ale cărei planuri din sectorul energetic se aliniază cu cele ale Uniunii Europene.</w:t>
      </w:r>
    </w:p>
    <w:p w14:paraId="0FFDC8F0" w14:textId="40724930" w:rsidR="007D2814" w:rsidRDefault="00DD102F">
      <w:pPr>
        <w:pStyle w:val="Heading3"/>
      </w:pPr>
      <w:bookmarkStart w:id="57" w:name="_Toc198194980"/>
      <w:r>
        <w:lastRenderedPageBreak/>
        <w:t>Starea pompelor de căldură în Moldova</w:t>
      </w:r>
      <w:bookmarkEnd w:id="57"/>
    </w:p>
    <w:p w14:paraId="161268FF" w14:textId="77777777" w:rsidR="007D2814" w:rsidRDefault="00DD102F">
      <w:pPr>
        <w:pStyle w:val="IEABodyText"/>
      </w:pPr>
      <w:r>
        <w:t>În ciuda interesului tot mai mare din partea factorilor de decizie politică, pompele de căldură rămân o tehnologie neobișnuită în Moldova. Datele privind utilizarea pompelor de căldură în Republica Moldova sunt limitate și, în prezent, nu există nicio entitate responsabilă cu colectarea cifrelor privind vânzările de pompe de căldură. În cazul în care există, pompele de căldură sunt utilizate în principal pentru încălzirea spațiilor clădirilor. Lipsa unei industrii a pompelor de căldură casnice sau a unui corp de instalatori instruiți înseamnă că instalațiile sunt costisitoare – limitând și mai mult cererea consumatorilor.</w:t>
      </w:r>
    </w:p>
    <w:p w14:paraId="5B52AEE4" w14:textId="77777777" w:rsidR="007D2814" w:rsidRDefault="00DD102F">
      <w:pPr>
        <w:pStyle w:val="Heading4"/>
      </w:pPr>
      <w:r>
        <w:t>Piața pompelor de căldură din Moldova</w:t>
      </w:r>
    </w:p>
    <w:p w14:paraId="0E0C39C5" w14:textId="77777777" w:rsidR="007D2814" w:rsidRDefault="00DD102F">
      <w:pPr>
        <w:pStyle w:val="IEABodyText"/>
        <w:rPr>
          <w:color w:val="FF0000"/>
        </w:rPr>
      </w:pPr>
      <w:r>
        <w:t xml:space="preserve">Există date limitate cu privire la numărul de pompe de căldură vândute și instalate în Moldova. Se pot face estimări ale pieței prin analizarea importurilor de pompe de căldură în țară. Moldova a importat pompe de căldură în valoare de aproximativ 5 milioane USD în 2023, aproximativ la fel ca în 2022. Ponderea importurilor din Uniunea Europeană a crescut ușor la 48 % și a fost determinată de Franța (16 %), Germania (8 %) și Suedia (7 %). China a furnizat 39 % din pompele de căldură din Moldova în 2023, în scădere de la 42 % în anul precedent. </w:t>
      </w:r>
    </w:p>
    <w:p w14:paraId="06110559" w14:textId="77777777" w:rsidR="007D2814" w:rsidRDefault="00DD102F">
      <w:pPr>
        <w:pStyle w:val="IEAFigureTitle"/>
      </w:pPr>
      <w:bookmarkStart w:id="58" w:name="_Toc198195011"/>
      <w:r>
        <w:t>Valoarea de piață a pompelor de căldură importate de Moldova, 2022 și 2023</w:t>
      </w:r>
      <w:bookmarkEnd w:id="58"/>
    </w:p>
    <w:p w14:paraId="274A46ED" w14:textId="236E1C9A" w:rsidR="007D2814" w:rsidRDefault="00DD102F">
      <w:pPr>
        <w:pStyle w:val="IEAFigurePlace"/>
      </w:pPr>
      <w:r>
        <w:rPr>
          <w:noProof/>
          <w:lang w:val="en-US"/>
        </w:rPr>
        <w:drawing>
          <wp:inline distT="0" distB="0" distL="0" distR="0" wp14:anchorId="6622F025" wp14:editId="2814EC28">
            <wp:extent cx="5543550" cy="2232025"/>
            <wp:effectExtent l="0" t="0" r="0" b="0"/>
            <wp:docPr id="23" name="Imagine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1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543550" cy="2232025"/>
                    </a:xfrm>
                    <a:prstGeom prst="rect">
                      <a:avLst/>
                    </a:prstGeom>
                    <a:noFill/>
                    <a:ln>
                      <a:noFill/>
                    </a:ln>
                  </pic:spPr>
                </pic:pic>
              </a:graphicData>
            </a:graphic>
          </wp:inline>
        </w:drawing>
      </w:r>
    </w:p>
    <w:p w14:paraId="619D3681" w14:textId="77777777" w:rsidR="007D2814" w:rsidRDefault="00DD102F">
      <w:pPr>
        <w:pStyle w:val="IEAFigureCopyright"/>
        <w:rPr>
          <w:b/>
          <w:bCs/>
        </w:rPr>
      </w:pPr>
      <w:r>
        <w:t>AIE CC BY 4.0</w:t>
      </w:r>
    </w:p>
    <w:p w14:paraId="6740E8E0" w14:textId="17065056" w:rsidR="007D2814" w:rsidRDefault="00DD102F">
      <w:pPr>
        <w:pStyle w:val="IEASources"/>
      </w:pPr>
      <w:r>
        <w:t xml:space="preserve">Sursă: AIE pe baza datelor de la Organizația Națiunilor Unite (2025), </w:t>
      </w:r>
      <w:hyperlink r:id="rId108" w:history="1">
        <w:r>
          <w:rPr>
            <w:rStyle w:val="Hyperlink"/>
          </w:rPr>
          <w:t>baza de date Comtrade a ONU (baza de date),</w:t>
        </w:r>
      </w:hyperlink>
      <w:r>
        <w:t xml:space="preserve"> accesată la 15 martie 2025. </w:t>
      </w:r>
    </w:p>
    <w:p w14:paraId="73A26027" w14:textId="77777777" w:rsidR="007D2814" w:rsidRDefault="007D2814">
      <w:pPr>
        <w:pStyle w:val="IEAFigureClosing"/>
      </w:pPr>
    </w:p>
    <w:p w14:paraId="177FAE72" w14:textId="24846E82" w:rsidR="007D2814" w:rsidRDefault="00DD102F">
      <w:pPr>
        <w:pStyle w:val="IEABodyText"/>
      </w:pPr>
      <w:r>
        <w:t xml:space="preserve">În comparație cu alte țări europene, valoarea importurilor de pompe de căldură din Moldova este scăzută: România a importat pompe de căldură evaluate la 48 de milioane USD în 2023, Bulgaria la 18 milioane USD și Ungaria la 56 de milioane USD. Piețele consacrate din Europa importă, de asemenea, mult mai multe </w:t>
      </w:r>
      <w:r>
        <w:lastRenderedPageBreak/>
        <w:t>pompe de căldură pe cap de locuitor decât Moldova și satisfac o mare parte din cererea lor cu producția locală.</w:t>
      </w:r>
    </w:p>
    <w:p w14:paraId="4FB3461B" w14:textId="404F30A9" w:rsidR="007D2814" w:rsidRDefault="00DD102F">
      <w:pPr>
        <w:pStyle w:val="IEATableTitle"/>
      </w:pPr>
      <w:r>
        <w:t>Valoarea importurilor de pompe de căldură în economiile selectate, 2023</w:t>
      </w:r>
    </w:p>
    <w:tbl>
      <w:tblPr>
        <w:tblW w:w="8844" w:type="dxa"/>
        <w:tblLook w:val="04A0" w:firstRow="1" w:lastRow="0" w:firstColumn="1" w:lastColumn="0" w:noHBand="0" w:noVBand="1"/>
      </w:tblPr>
      <w:tblGrid>
        <w:gridCol w:w="2211"/>
        <w:gridCol w:w="2211"/>
        <w:gridCol w:w="2211"/>
        <w:gridCol w:w="2211"/>
      </w:tblGrid>
      <w:tr w:rsidR="007D2814" w14:paraId="31D8ACC1" w14:textId="77777777">
        <w:trPr>
          <w:trHeight w:val="510"/>
          <w:tblHeader/>
        </w:trPr>
        <w:tc>
          <w:tcPr>
            <w:tcW w:w="2211" w:type="dxa"/>
            <w:shd w:val="clear" w:color="auto" w:fill="1F497D"/>
            <w:vAlign w:val="center"/>
          </w:tcPr>
          <w:p w14:paraId="2B955B11" w14:textId="14E790D5" w:rsidR="007D2814" w:rsidRDefault="00DD102F">
            <w:pPr>
              <w:pStyle w:val="P68B1DB1-Normal4"/>
              <w:jc w:val="center"/>
              <w:rPr>
                <w:szCs w:val="22"/>
              </w:rPr>
            </w:pPr>
            <w:r>
              <w:t>Țara</w:t>
            </w:r>
          </w:p>
        </w:tc>
        <w:tc>
          <w:tcPr>
            <w:tcW w:w="2211" w:type="dxa"/>
            <w:shd w:val="clear" w:color="auto" w:fill="1F497D"/>
            <w:vAlign w:val="bottom"/>
          </w:tcPr>
          <w:p w14:paraId="26150D8A" w14:textId="77777777" w:rsidR="007D2814" w:rsidRDefault="00DD102F">
            <w:pPr>
              <w:pStyle w:val="P68B1DB1-Normal5"/>
              <w:jc w:val="center"/>
              <w:rPr>
                <w:bCs/>
                <w:szCs w:val="22"/>
              </w:rPr>
            </w:pPr>
            <w:r>
              <w:t>Valoarea de import</w:t>
            </w:r>
          </w:p>
          <w:p w14:paraId="1BD36C2D" w14:textId="10B52926" w:rsidR="007D2814" w:rsidRDefault="00DD102F">
            <w:pPr>
              <w:pStyle w:val="P68B1DB1-Normal5"/>
              <w:jc w:val="center"/>
              <w:rPr>
                <w:rFonts w:cs="Arial"/>
                <w:bCs/>
                <w:szCs w:val="22"/>
              </w:rPr>
            </w:pPr>
            <w:r>
              <w:t>(milioane USD)</w:t>
            </w:r>
          </w:p>
        </w:tc>
        <w:tc>
          <w:tcPr>
            <w:tcW w:w="2211" w:type="dxa"/>
            <w:shd w:val="clear" w:color="auto" w:fill="1F497D"/>
            <w:vAlign w:val="bottom"/>
          </w:tcPr>
          <w:p w14:paraId="206BDC26" w14:textId="77777777" w:rsidR="007D2814" w:rsidRDefault="00DD102F">
            <w:pPr>
              <w:pStyle w:val="P68B1DB1-Normal5"/>
              <w:jc w:val="center"/>
              <w:rPr>
                <w:bCs/>
                <w:szCs w:val="22"/>
              </w:rPr>
            </w:pPr>
            <w:r>
              <w:t>Populație</w:t>
            </w:r>
          </w:p>
          <w:p w14:paraId="18E9BB63" w14:textId="2222EF2B" w:rsidR="007D2814" w:rsidRDefault="00DD102F">
            <w:pPr>
              <w:pStyle w:val="P68B1DB1-Normal5"/>
              <w:jc w:val="center"/>
              <w:rPr>
                <w:rFonts w:cs="Arial"/>
                <w:bCs/>
                <w:szCs w:val="22"/>
              </w:rPr>
            </w:pPr>
            <w:r>
              <w:t>(milioane)</w:t>
            </w:r>
          </w:p>
        </w:tc>
        <w:tc>
          <w:tcPr>
            <w:tcW w:w="2211" w:type="dxa"/>
            <w:shd w:val="clear" w:color="auto" w:fill="1F497D"/>
            <w:vAlign w:val="bottom"/>
          </w:tcPr>
          <w:p w14:paraId="6416DB46" w14:textId="77777777" w:rsidR="007D2814" w:rsidRDefault="00DD102F">
            <w:pPr>
              <w:pStyle w:val="P68B1DB1-Normal6"/>
              <w:jc w:val="right"/>
              <w:rPr>
                <w:bCs/>
              </w:rPr>
            </w:pPr>
            <w:r>
              <w:t>Importuri pe cap de locuitor</w:t>
            </w:r>
          </w:p>
          <w:p w14:paraId="59C691EA" w14:textId="5BE6FF71" w:rsidR="007D2814" w:rsidRDefault="00DD102F">
            <w:pPr>
              <w:pStyle w:val="P68B1DB1-Normal6"/>
              <w:jc w:val="center"/>
              <w:rPr>
                <w:rFonts w:cs="Arial"/>
                <w:bCs/>
                <w:szCs w:val="22"/>
              </w:rPr>
            </w:pPr>
            <w:r>
              <w:t>(USD/plafon)</w:t>
            </w:r>
          </w:p>
        </w:tc>
      </w:tr>
      <w:tr w:rsidR="007D2814" w14:paraId="4854CFF2" w14:textId="77777777">
        <w:trPr>
          <w:trHeight w:val="397"/>
        </w:trPr>
        <w:tc>
          <w:tcPr>
            <w:tcW w:w="2211" w:type="dxa"/>
            <w:tcBorders>
              <w:left w:val="single" w:sz="4" w:space="0" w:color="FFFFFF"/>
              <w:bottom w:val="single" w:sz="4" w:space="0" w:color="FFFFFF"/>
              <w:right w:val="single" w:sz="4" w:space="0" w:color="FFFFFF"/>
            </w:tcBorders>
            <w:shd w:val="clear" w:color="auto" w:fill="D9D9D9"/>
            <w:vAlign w:val="bottom"/>
          </w:tcPr>
          <w:p w14:paraId="60682D6C" w14:textId="27D340A1" w:rsidR="007D2814" w:rsidRDefault="00DD102F">
            <w:pPr>
              <w:pStyle w:val="P68B1DB1-Normal7"/>
              <w:jc w:val="center"/>
              <w:rPr>
                <w:rFonts w:cs="Arial"/>
                <w:szCs w:val="22"/>
              </w:rPr>
            </w:pPr>
            <w:r>
              <w:t>Germania</w:t>
            </w:r>
          </w:p>
        </w:tc>
        <w:tc>
          <w:tcPr>
            <w:tcW w:w="2211" w:type="dxa"/>
            <w:tcBorders>
              <w:left w:val="single" w:sz="4" w:space="0" w:color="FFFFFF"/>
              <w:bottom w:val="single" w:sz="4" w:space="0" w:color="FFFFFF"/>
              <w:right w:val="single" w:sz="4" w:space="0" w:color="FFFFFF"/>
            </w:tcBorders>
            <w:shd w:val="clear" w:color="auto" w:fill="D9D9D9"/>
            <w:vAlign w:val="bottom"/>
          </w:tcPr>
          <w:p w14:paraId="17A362C0" w14:textId="53F3AAB9" w:rsidR="007D2814" w:rsidRDefault="00DD102F">
            <w:pPr>
              <w:pStyle w:val="P68B1DB1-Normal7"/>
              <w:jc w:val="center"/>
              <w:rPr>
                <w:rFonts w:cs="Arial"/>
                <w:szCs w:val="22"/>
              </w:rPr>
            </w:pPr>
            <w:r>
              <w:t>1 120.0</w:t>
            </w:r>
          </w:p>
        </w:tc>
        <w:tc>
          <w:tcPr>
            <w:tcW w:w="2211" w:type="dxa"/>
            <w:tcBorders>
              <w:left w:val="single" w:sz="4" w:space="0" w:color="FFFFFF"/>
              <w:bottom w:val="single" w:sz="4" w:space="0" w:color="FFFFFF"/>
              <w:right w:val="single" w:sz="4" w:space="0" w:color="FFFFFF"/>
            </w:tcBorders>
            <w:shd w:val="clear" w:color="auto" w:fill="D9D9D9"/>
            <w:vAlign w:val="bottom"/>
          </w:tcPr>
          <w:p w14:paraId="72102368" w14:textId="2689DB57" w:rsidR="007D2814" w:rsidRDefault="00DD102F">
            <w:pPr>
              <w:pStyle w:val="P68B1DB1-Normal7"/>
              <w:jc w:val="center"/>
              <w:rPr>
                <w:rFonts w:cs="Arial"/>
                <w:szCs w:val="22"/>
              </w:rPr>
            </w:pPr>
            <w:r>
              <w:t>83.3</w:t>
            </w:r>
          </w:p>
        </w:tc>
        <w:tc>
          <w:tcPr>
            <w:tcW w:w="2211" w:type="dxa"/>
            <w:tcBorders>
              <w:left w:val="single" w:sz="4" w:space="0" w:color="FFFFFF"/>
              <w:bottom w:val="single" w:sz="4" w:space="0" w:color="FFFFFF"/>
              <w:right w:val="single" w:sz="4" w:space="0" w:color="FFFFFF"/>
            </w:tcBorders>
            <w:shd w:val="clear" w:color="auto" w:fill="D9D9D9"/>
            <w:vAlign w:val="bottom"/>
          </w:tcPr>
          <w:p w14:paraId="702B4DCE" w14:textId="3557BCCD" w:rsidR="007D2814" w:rsidRDefault="00DD102F">
            <w:pPr>
              <w:pStyle w:val="P68B1DB1-Normal7"/>
              <w:jc w:val="center"/>
              <w:rPr>
                <w:rFonts w:cs="Arial"/>
                <w:szCs w:val="22"/>
              </w:rPr>
            </w:pPr>
            <w:r>
              <w:t>13.45</w:t>
            </w:r>
          </w:p>
        </w:tc>
      </w:tr>
      <w:tr w:rsidR="007D2814" w14:paraId="5B64BF84" w14:textId="77777777">
        <w:trPr>
          <w:trHeight w:val="397"/>
        </w:trPr>
        <w:tc>
          <w:tcPr>
            <w:tcW w:w="2211" w:type="dxa"/>
            <w:tcBorders>
              <w:top w:val="single" w:sz="4" w:space="0" w:color="FFFFFF"/>
              <w:left w:val="single" w:sz="4" w:space="0" w:color="FFFFFF"/>
              <w:bottom w:val="single" w:sz="4" w:space="0" w:color="FFFFFF"/>
              <w:right w:val="single" w:sz="4" w:space="0" w:color="FFFFFF"/>
            </w:tcBorders>
            <w:vAlign w:val="bottom"/>
          </w:tcPr>
          <w:p w14:paraId="78BA5758" w14:textId="6F993BFF" w:rsidR="007D2814" w:rsidRDefault="00DD102F">
            <w:pPr>
              <w:pStyle w:val="P68B1DB1-Normal7"/>
              <w:jc w:val="center"/>
              <w:rPr>
                <w:rFonts w:cs="Arial"/>
                <w:szCs w:val="22"/>
              </w:rPr>
            </w:pPr>
            <w:r>
              <w:t>Franța</w:t>
            </w:r>
          </w:p>
        </w:tc>
        <w:tc>
          <w:tcPr>
            <w:tcW w:w="2211" w:type="dxa"/>
            <w:tcBorders>
              <w:top w:val="single" w:sz="4" w:space="0" w:color="FFFFFF"/>
              <w:left w:val="single" w:sz="4" w:space="0" w:color="FFFFFF"/>
              <w:bottom w:val="single" w:sz="4" w:space="0" w:color="FFFFFF"/>
              <w:right w:val="single" w:sz="4" w:space="0" w:color="FFFFFF"/>
            </w:tcBorders>
            <w:vAlign w:val="bottom"/>
          </w:tcPr>
          <w:p w14:paraId="1FB5C268" w14:textId="593CA34A" w:rsidR="007D2814" w:rsidRDefault="00DD102F">
            <w:pPr>
              <w:pStyle w:val="P68B1DB1-Normal7"/>
              <w:jc w:val="center"/>
              <w:rPr>
                <w:rFonts w:cs="Arial"/>
                <w:szCs w:val="22"/>
              </w:rPr>
            </w:pPr>
            <w:r>
              <w:t>525.0</w:t>
            </w:r>
          </w:p>
        </w:tc>
        <w:tc>
          <w:tcPr>
            <w:tcW w:w="2211" w:type="dxa"/>
            <w:tcBorders>
              <w:top w:val="single" w:sz="4" w:space="0" w:color="FFFFFF"/>
              <w:left w:val="single" w:sz="4" w:space="0" w:color="FFFFFF"/>
              <w:bottom w:val="single" w:sz="4" w:space="0" w:color="FFFFFF"/>
              <w:right w:val="single" w:sz="4" w:space="0" w:color="FFFFFF"/>
            </w:tcBorders>
            <w:vAlign w:val="bottom"/>
          </w:tcPr>
          <w:p w14:paraId="1AEFD7F1" w14:textId="7639612B" w:rsidR="007D2814" w:rsidRDefault="00DD102F">
            <w:pPr>
              <w:pStyle w:val="P68B1DB1-Normal7"/>
              <w:jc w:val="center"/>
              <w:rPr>
                <w:rFonts w:cs="Arial"/>
                <w:szCs w:val="22"/>
              </w:rPr>
            </w:pPr>
            <w:r>
              <w:t>68.3</w:t>
            </w:r>
          </w:p>
        </w:tc>
        <w:tc>
          <w:tcPr>
            <w:tcW w:w="2211" w:type="dxa"/>
            <w:tcBorders>
              <w:top w:val="single" w:sz="4" w:space="0" w:color="FFFFFF"/>
              <w:left w:val="single" w:sz="4" w:space="0" w:color="FFFFFF"/>
              <w:bottom w:val="single" w:sz="4" w:space="0" w:color="FFFFFF"/>
              <w:right w:val="single" w:sz="4" w:space="0" w:color="FFFFFF"/>
            </w:tcBorders>
            <w:vAlign w:val="bottom"/>
          </w:tcPr>
          <w:p w14:paraId="7E3BE8F3" w14:textId="5F796B55" w:rsidR="007D2814" w:rsidRDefault="00DD102F">
            <w:pPr>
              <w:pStyle w:val="P68B1DB1-Normal7"/>
              <w:jc w:val="center"/>
              <w:rPr>
                <w:rFonts w:cs="Arial"/>
                <w:szCs w:val="22"/>
              </w:rPr>
            </w:pPr>
            <w:r>
              <w:t>7.69</w:t>
            </w:r>
          </w:p>
        </w:tc>
      </w:tr>
      <w:tr w:rsidR="007D2814" w14:paraId="3366B5D6" w14:textId="77777777">
        <w:trPr>
          <w:trHeight w:val="397"/>
        </w:trPr>
        <w:tc>
          <w:tcPr>
            <w:tcW w:w="2211" w:type="dxa"/>
            <w:tcBorders>
              <w:top w:val="single" w:sz="4" w:space="0" w:color="FFFFFF"/>
              <w:left w:val="single" w:sz="4" w:space="0" w:color="FFFFFF"/>
              <w:right w:val="single" w:sz="4" w:space="0" w:color="FFFFFF"/>
            </w:tcBorders>
            <w:shd w:val="clear" w:color="auto" w:fill="D9D9D9"/>
            <w:vAlign w:val="bottom"/>
          </w:tcPr>
          <w:p w14:paraId="431413EE" w14:textId="58BE9C7A" w:rsidR="007D2814" w:rsidRDefault="00DD102F">
            <w:pPr>
              <w:pStyle w:val="P68B1DB1-Normal7"/>
              <w:jc w:val="center"/>
              <w:rPr>
                <w:rFonts w:cs="Arial"/>
                <w:szCs w:val="22"/>
              </w:rPr>
            </w:pPr>
            <w:r>
              <w:t>Ungaria</w:t>
            </w:r>
          </w:p>
        </w:tc>
        <w:tc>
          <w:tcPr>
            <w:tcW w:w="2211" w:type="dxa"/>
            <w:tcBorders>
              <w:top w:val="single" w:sz="4" w:space="0" w:color="FFFFFF"/>
              <w:left w:val="single" w:sz="4" w:space="0" w:color="FFFFFF"/>
              <w:right w:val="single" w:sz="4" w:space="0" w:color="FFFFFF"/>
            </w:tcBorders>
            <w:shd w:val="clear" w:color="auto" w:fill="D9D9D9"/>
            <w:vAlign w:val="bottom"/>
          </w:tcPr>
          <w:p w14:paraId="744D574B" w14:textId="2EDB07B7" w:rsidR="007D2814" w:rsidRDefault="00DD102F">
            <w:pPr>
              <w:pStyle w:val="P68B1DB1-Normal7"/>
              <w:jc w:val="center"/>
              <w:rPr>
                <w:rFonts w:cs="Arial"/>
                <w:szCs w:val="22"/>
              </w:rPr>
            </w:pPr>
            <w:r>
              <w:t>55.9</w:t>
            </w:r>
          </w:p>
        </w:tc>
        <w:tc>
          <w:tcPr>
            <w:tcW w:w="2211" w:type="dxa"/>
            <w:tcBorders>
              <w:top w:val="single" w:sz="4" w:space="0" w:color="FFFFFF"/>
              <w:left w:val="single" w:sz="4" w:space="0" w:color="FFFFFF"/>
              <w:right w:val="single" w:sz="4" w:space="0" w:color="FFFFFF"/>
            </w:tcBorders>
            <w:shd w:val="clear" w:color="auto" w:fill="D9D9D9"/>
            <w:vAlign w:val="bottom"/>
          </w:tcPr>
          <w:p w14:paraId="561ABD2C" w14:textId="2930F4C0" w:rsidR="007D2814" w:rsidRDefault="00DD102F">
            <w:pPr>
              <w:pStyle w:val="P68B1DB1-Normal7"/>
              <w:jc w:val="center"/>
              <w:rPr>
                <w:rFonts w:cs="Arial"/>
                <w:szCs w:val="22"/>
              </w:rPr>
            </w:pPr>
            <w:r>
              <w:t>9.6</w:t>
            </w:r>
          </w:p>
        </w:tc>
        <w:tc>
          <w:tcPr>
            <w:tcW w:w="2211" w:type="dxa"/>
            <w:tcBorders>
              <w:top w:val="single" w:sz="4" w:space="0" w:color="FFFFFF"/>
              <w:left w:val="single" w:sz="4" w:space="0" w:color="FFFFFF"/>
              <w:right w:val="single" w:sz="4" w:space="0" w:color="FFFFFF"/>
            </w:tcBorders>
            <w:shd w:val="clear" w:color="auto" w:fill="D9D9D9"/>
            <w:vAlign w:val="bottom"/>
          </w:tcPr>
          <w:p w14:paraId="5AD83499" w14:textId="29CC9EF1" w:rsidR="007D2814" w:rsidRDefault="00DD102F">
            <w:pPr>
              <w:pStyle w:val="P68B1DB1-Normal7"/>
              <w:jc w:val="center"/>
              <w:rPr>
                <w:rFonts w:cs="Arial"/>
                <w:szCs w:val="22"/>
              </w:rPr>
            </w:pPr>
            <w:r>
              <w:t>5.83</w:t>
            </w:r>
          </w:p>
        </w:tc>
      </w:tr>
      <w:tr w:rsidR="007D2814" w14:paraId="183A4BFD" w14:textId="77777777">
        <w:trPr>
          <w:trHeight w:val="397"/>
        </w:trPr>
        <w:tc>
          <w:tcPr>
            <w:tcW w:w="2211" w:type="dxa"/>
            <w:tcBorders>
              <w:top w:val="single" w:sz="4" w:space="0" w:color="FFFFFF"/>
              <w:left w:val="single" w:sz="4" w:space="0" w:color="FFFFFF"/>
              <w:right w:val="single" w:sz="4" w:space="0" w:color="FFFFFF"/>
            </w:tcBorders>
            <w:vAlign w:val="bottom"/>
          </w:tcPr>
          <w:p w14:paraId="065AADEF" w14:textId="5FD565F8" w:rsidR="007D2814" w:rsidRDefault="00DD102F">
            <w:pPr>
              <w:pStyle w:val="P68B1DB1-Normal7"/>
              <w:jc w:val="center"/>
              <w:rPr>
                <w:rFonts w:cs="Arial"/>
                <w:szCs w:val="22"/>
              </w:rPr>
            </w:pPr>
            <w:r>
              <w:t>Bulgaria</w:t>
            </w:r>
          </w:p>
        </w:tc>
        <w:tc>
          <w:tcPr>
            <w:tcW w:w="2211" w:type="dxa"/>
            <w:tcBorders>
              <w:top w:val="single" w:sz="4" w:space="0" w:color="FFFFFF"/>
              <w:left w:val="single" w:sz="4" w:space="0" w:color="FFFFFF"/>
              <w:right w:val="single" w:sz="4" w:space="0" w:color="FFFFFF"/>
            </w:tcBorders>
            <w:vAlign w:val="bottom"/>
          </w:tcPr>
          <w:p w14:paraId="5FCF5F79" w14:textId="012621D0" w:rsidR="007D2814" w:rsidRDefault="00DD102F">
            <w:pPr>
              <w:pStyle w:val="P68B1DB1-Normal7"/>
              <w:jc w:val="center"/>
              <w:rPr>
                <w:rFonts w:cs="Arial"/>
                <w:szCs w:val="22"/>
              </w:rPr>
            </w:pPr>
            <w:r>
              <w:t>18.4</w:t>
            </w:r>
          </w:p>
        </w:tc>
        <w:tc>
          <w:tcPr>
            <w:tcW w:w="2211" w:type="dxa"/>
            <w:tcBorders>
              <w:top w:val="single" w:sz="4" w:space="0" w:color="FFFFFF"/>
              <w:left w:val="single" w:sz="4" w:space="0" w:color="FFFFFF"/>
              <w:right w:val="single" w:sz="4" w:space="0" w:color="FFFFFF"/>
            </w:tcBorders>
            <w:vAlign w:val="bottom"/>
          </w:tcPr>
          <w:p w14:paraId="318E80E5" w14:textId="26C77B71" w:rsidR="007D2814" w:rsidRDefault="00DD102F">
            <w:pPr>
              <w:pStyle w:val="P68B1DB1-Normal7"/>
              <w:jc w:val="center"/>
              <w:rPr>
                <w:rFonts w:cs="Arial"/>
                <w:szCs w:val="22"/>
              </w:rPr>
            </w:pPr>
            <w:r>
              <w:t>6.4</w:t>
            </w:r>
          </w:p>
        </w:tc>
        <w:tc>
          <w:tcPr>
            <w:tcW w:w="2211" w:type="dxa"/>
            <w:tcBorders>
              <w:top w:val="single" w:sz="4" w:space="0" w:color="FFFFFF"/>
              <w:left w:val="single" w:sz="4" w:space="0" w:color="FFFFFF"/>
              <w:right w:val="single" w:sz="4" w:space="0" w:color="FFFFFF"/>
            </w:tcBorders>
            <w:vAlign w:val="bottom"/>
          </w:tcPr>
          <w:p w14:paraId="42F3A629" w14:textId="5A3294B3" w:rsidR="007D2814" w:rsidRDefault="00DD102F">
            <w:pPr>
              <w:pStyle w:val="P68B1DB1-Normal7"/>
              <w:jc w:val="center"/>
              <w:rPr>
                <w:rFonts w:cs="Arial"/>
                <w:szCs w:val="22"/>
              </w:rPr>
            </w:pPr>
            <w:r>
              <w:t>2.86</w:t>
            </w:r>
          </w:p>
        </w:tc>
      </w:tr>
      <w:tr w:rsidR="007D2814" w14:paraId="2B7871FD" w14:textId="77777777">
        <w:trPr>
          <w:trHeight w:val="397"/>
        </w:trPr>
        <w:tc>
          <w:tcPr>
            <w:tcW w:w="2211" w:type="dxa"/>
            <w:tcBorders>
              <w:top w:val="single" w:sz="4" w:space="0" w:color="FFFFFF"/>
              <w:left w:val="single" w:sz="4" w:space="0" w:color="FFFFFF"/>
              <w:right w:val="single" w:sz="4" w:space="0" w:color="FFFFFF"/>
            </w:tcBorders>
            <w:shd w:val="clear" w:color="auto" w:fill="D9D9D9"/>
            <w:vAlign w:val="bottom"/>
          </w:tcPr>
          <w:p w14:paraId="0F81DB44" w14:textId="10D944BF" w:rsidR="007D2814" w:rsidRDefault="00DD102F">
            <w:pPr>
              <w:pStyle w:val="P68B1DB1-Normal7"/>
              <w:jc w:val="center"/>
              <w:rPr>
                <w:rFonts w:cs="Arial"/>
                <w:szCs w:val="22"/>
              </w:rPr>
            </w:pPr>
            <w:r>
              <w:t>România</w:t>
            </w:r>
          </w:p>
        </w:tc>
        <w:tc>
          <w:tcPr>
            <w:tcW w:w="2211" w:type="dxa"/>
            <w:tcBorders>
              <w:top w:val="single" w:sz="4" w:space="0" w:color="FFFFFF"/>
              <w:left w:val="single" w:sz="4" w:space="0" w:color="FFFFFF"/>
              <w:right w:val="single" w:sz="4" w:space="0" w:color="FFFFFF"/>
            </w:tcBorders>
            <w:shd w:val="clear" w:color="auto" w:fill="D9D9D9"/>
            <w:vAlign w:val="bottom"/>
          </w:tcPr>
          <w:p w14:paraId="03C57595" w14:textId="714AA41E" w:rsidR="007D2814" w:rsidRDefault="00DD102F">
            <w:pPr>
              <w:pStyle w:val="P68B1DB1-Normal7"/>
              <w:jc w:val="center"/>
              <w:rPr>
                <w:rFonts w:cs="Arial"/>
                <w:szCs w:val="22"/>
              </w:rPr>
            </w:pPr>
            <w:r>
              <w:t>48.2</w:t>
            </w:r>
          </w:p>
        </w:tc>
        <w:tc>
          <w:tcPr>
            <w:tcW w:w="2211" w:type="dxa"/>
            <w:tcBorders>
              <w:top w:val="single" w:sz="4" w:space="0" w:color="FFFFFF"/>
              <w:left w:val="single" w:sz="4" w:space="0" w:color="FFFFFF"/>
              <w:right w:val="single" w:sz="4" w:space="0" w:color="FFFFFF"/>
            </w:tcBorders>
            <w:shd w:val="clear" w:color="auto" w:fill="D9D9D9"/>
            <w:vAlign w:val="bottom"/>
          </w:tcPr>
          <w:p w14:paraId="493C793E" w14:textId="74E33388" w:rsidR="007D2814" w:rsidRDefault="00DD102F">
            <w:pPr>
              <w:pStyle w:val="P68B1DB1-Normal7"/>
              <w:jc w:val="center"/>
              <w:rPr>
                <w:rFonts w:cs="Arial"/>
                <w:szCs w:val="22"/>
              </w:rPr>
            </w:pPr>
            <w:r>
              <w:t>19.1</w:t>
            </w:r>
          </w:p>
        </w:tc>
        <w:tc>
          <w:tcPr>
            <w:tcW w:w="2211" w:type="dxa"/>
            <w:tcBorders>
              <w:top w:val="single" w:sz="4" w:space="0" w:color="FFFFFF"/>
              <w:left w:val="single" w:sz="4" w:space="0" w:color="FFFFFF"/>
              <w:right w:val="single" w:sz="4" w:space="0" w:color="FFFFFF"/>
            </w:tcBorders>
            <w:shd w:val="clear" w:color="auto" w:fill="D9D9D9"/>
            <w:vAlign w:val="bottom"/>
          </w:tcPr>
          <w:p w14:paraId="30042E7E" w14:textId="7775BFDE" w:rsidR="007D2814" w:rsidRDefault="00DD102F">
            <w:pPr>
              <w:pStyle w:val="P68B1DB1-Normal7"/>
              <w:jc w:val="center"/>
              <w:rPr>
                <w:rFonts w:cs="Arial"/>
                <w:szCs w:val="22"/>
              </w:rPr>
            </w:pPr>
            <w:r>
              <w:t>2.53</w:t>
            </w:r>
          </w:p>
        </w:tc>
      </w:tr>
      <w:tr w:rsidR="007D2814" w14:paraId="7BA61F87" w14:textId="77777777">
        <w:trPr>
          <w:trHeight w:val="397"/>
        </w:trPr>
        <w:tc>
          <w:tcPr>
            <w:tcW w:w="2211" w:type="dxa"/>
            <w:tcBorders>
              <w:top w:val="single" w:sz="4" w:space="0" w:color="FFFFFF"/>
              <w:left w:val="single" w:sz="4" w:space="0" w:color="FFFFFF"/>
              <w:right w:val="single" w:sz="4" w:space="0" w:color="FFFFFF"/>
            </w:tcBorders>
            <w:shd w:val="clear" w:color="auto" w:fill="FFFFFF" w:themeFill="background1"/>
            <w:vAlign w:val="bottom"/>
          </w:tcPr>
          <w:p w14:paraId="173015AA" w14:textId="2F1472C8" w:rsidR="007D2814" w:rsidRDefault="00DD102F">
            <w:pPr>
              <w:pStyle w:val="P68B1DB1-Normal7"/>
              <w:jc w:val="center"/>
              <w:rPr>
                <w:szCs w:val="22"/>
              </w:rPr>
            </w:pPr>
            <w:r>
              <w:t>Regatul Unit</w:t>
            </w:r>
          </w:p>
        </w:tc>
        <w:tc>
          <w:tcPr>
            <w:tcW w:w="2211" w:type="dxa"/>
            <w:tcBorders>
              <w:top w:val="single" w:sz="4" w:space="0" w:color="FFFFFF"/>
              <w:left w:val="single" w:sz="4" w:space="0" w:color="FFFFFF"/>
              <w:right w:val="single" w:sz="4" w:space="0" w:color="FFFFFF"/>
            </w:tcBorders>
            <w:shd w:val="clear" w:color="auto" w:fill="FFFFFF" w:themeFill="background1"/>
            <w:vAlign w:val="bottom"/>
          </w:tcPr>
          <w:p w14:paraId="2ABBCD09" w14:textId="7B4E90B2" w:rsidR="007D2814" w:rsidRDefault="00DD102F">
            <w:pPr>
              <w:pStyle w:val="P68B1DB1-Normal7"/>
              <w:jc w:val="center"/>
              <w:rPr>
                <w:rFonts w:cs="Arial"/>
                <w:szCs w:val="22"/>
              </w:rPr>
            </w:pPr>
            <w:r>
              <w:t>144.0</w:t>
            </w:r>
          </w:p>
        </w:tc>
        <w:tc>
          <w:tcPr>
            <w:tcW w:w="2211" w:type="dxa"/>
            <w:tcBorders>
              <w:top w:val="single" w:sz="4" w:space="0" w:color="FFFFFF"/>
              <w:left w:val="single" w:sz="4" w:space="0" w:color="FFFFFF"/>
              <w:right w:val="single" w:sz="4" w:space="0" w:color="FFFFFF"/>
            </w:tcBorders>
            <w:shd w:val="clear" w:color="auto" w:fill="FFFFFF" w:themeFill="background1"/>
            <w:vAlign w:val="bottom"/>
          </w:tcPr>
          <w:p w14:paraId="01B5A78B" w14:textId="1011EFFB" w:rsidR="007D2814" w:rsidRDefault="00DD102F">
            <w:pPr>
              <w:pStyle w:val="P68B1DB1-Normal7"/>
              <w:jc w:val="center"/>
              <w:rPr>
                <w:rFonts w:cs="Arial"/>
                <w:szCs w:val="22"/>
              </w:rPr>
            </w:pPr>
            <w:r>
              <w:t>68.4</w:t>
            </w:r>
          </w:p>
        </w:tc>
        <w:tc>
          <w:tcPr>
            <w:tcW w:w="2211" w:type="dxa"/>
            <w:tcBorders>
              <w:top w:val="single" w:sz="4" w:space="0" w:color="FFFFFF"/>
              <w:left w:val="single" w:sz="4" w:space="0" w:color="FFFFFF"/>
              <w:right w:val="single" w:sz="4" w:space="0" w:color="FFFFFF"/>
            </w:tcBorders>
            <w:shd w:val="clear" w:color="auto" w:fill="FFFFFF" w:themeFill="background1"/>
            <w:vAlign w:val="bottom"/>
          </w:tcPr>
          <w:p w14:paraId="30E927BC" w14:textId="1B3038A4" w:rsidR="007D2814" w:rsidRDefault="00DD102F">
            <w:pPr>
              <w:pStyle w:val="P68B1DB1-Normal7"/>
              <w:jc w:val="center"/>
              <w:rPr>
                <w:rFonts w:cs="Arial"/>
                <w:szCs w:val="22"/>
              </w:rPr>
            </w:pPr>
            <w:r>
              <w:t>2.11</w:t>
            </w:r>
          </w:p>
        </w:tc>
      </w:tr>
      <w:tr w:rsidR="007D2814" w14:paraId="03CD3B35" w14:textId="77777777">
        <w:trPr>
          <w:trHeight w:val="397"/>
        </w:trPr>
        <w:tc>
          <w:tcPr>
            <w:tcW w:w="2211" w:type="dxa"/>
            <w:tcBorders>
              <w:top w:val="single" w:sz="4" w:space="0" w:color="FFFFFF"/>
              <w:left w:val="single" w:sz="4" w:space="0" w:color="FFFFFF"/>
              <w:right w:val="single" w:sz="4" w:space="0" w:color="FFFFFF"/>
            </w:tcBorders>
            <w:shd w:val="clear" w:color="auto" w:fill="D9D9D9"/>
            <w:vAlign w:val="bottom"/>
          </w:tcPr>
          <w:p w14:paraId="1603AB41" w14:textId="736506D7" w:rsidR="007D2814" w:rsidRDefault="00DD102F">
            <w:pPr>
              <w:pStyle w:val="P68B1DB1-Normal7"/>
              <w:jc w:val="center"/>
              <w:rPr>
                <w:szCs w:val="22"/>
              </w:rPr>
            </w:pPr>
            <w:r>
              <w:t>Moldova</w:t>
            </w:r>
          </w:p>
        </w:tc>
        <w:tc>
          <w:tcPr>
            <w:tcW w:w="2211" w:type="dxa"/>
            <w:tcBorders>
              <w:top w:val="single" w:sz="4" w:space="0" w:color="FFFFFF"/>
              <w:left w:val="single" w:sz="4" w:space="0" w:color="FFFFFF"/>
              <w:right w:val="single" w:sz="4" w:space="0" w:color="FFFFFF"/>
            </w:tcBorders>
            <w:shd w:val="clear" w:color="auto" w:fill="D9D9D9"/>
            <w:vAlign w:val="bottom"/>
          </w:tcPr>
          <w:p w14:paraId="25CDA479" w14:textId="23F9B7DB" w:rsidR="007D2814" w:rsidRDefault="00DD102F">
            <w:pPr>
              <w:pStyle w:val="P68B1DB1-Normal7"/>
              <w:jc w:val="center"/>
              <w:rPr>
                <w:rFonts w:cs="Arial"/>
                <w:szCs w:val="22"/>
              </w:rPr>
            </w:pPr>
            <w:r>
              <w:t>5.0</w:t>
            </w:r>
          </w:p>
        </w:tc>
        <w:tc>
          <w:tcPr>
            <w:tcW w:w="2211" w:type="dxa"/>
            <w:tcBorders>
              <w:top w:val="single" w:sz="4" w:space="0" w:color="FFFFFF"/>
              <w:left w:val="single" w:sz="4" w:space="0" w:color="FFFFFF"/>
              <w:right w:val="single" w:sz="4" w:space="0" w:color="FFFFFF"/>
            </w:tcBorders>
            <w:shd w:val="clear" w:color="auto" w:fill="D9D9D9"/>
            <w:vAlign w:val="bottom"/>
          </w:tcPr>
          <w:p w14:paraId="5D2B70D9" w14:textId="3E0F22F4" w:rsidR="007D2814" w:rsidRDefault="00DD102F">
            <w:pPr>
              <w:pStyle w:val="P68B1DB1-Normal7"/>
              <w:jc w:val="center"/>
              <w:rPr>
                <w:rFonts w:cs="Arial"/>
                <w:szCs w:val="22"/>
              </w:rPr>
            </w:pPr>
            <w:r>
              <w:t>2.5</w:t>
            </w:r>
          </w:p>
        </w:tc>
        <w:tc>
          <w:tcPr>
            <w:tcW w:w="2211" w:type="dxa"/>
            <w:tcBorders>
              <w:top w:val="single" w:sz="4" w:space="0" w:color="FFFFFF"/>
              <w:left w:val="single" w:sz="4" w:space="0" w:color="FFFFFF"/>
              <w:right w:val="single" w:sz="4" w:space="0" w:color="FFFFFF"/>
            </w:tcBorders>
            <w:shd w:val="clear" w:color="auto" w:fill="D9D9D9"/>
            <w:vAlign w:val="bottom"/>
          </w:tcPr>
          <w:p w14:paraId="66952C31" w14:textId="65BCAEAC" w:rsidR="007D2814" w:rsidRDefault="00DD102F">
            <w:pPr>
              <w:pStyle w:val="P68B1DB1-Normal7"/>
              <w:jc w:val="center"/>
              <w:rPr>
                <w:rFonts w:cs="Arial"/>
                <w:szCs w:val="22"/>
              </w:rPr>
            </w:pPr>
            <w:r>
              <w:t>2.03</w:t>
            </w:r>
          </w:p>
        </w:tc>
      </w:tr>
    </w:tbl>
    <w:p w14:paraId="5A5DC84A" w14:textId="2F9C9169" w:rsidR="007D2814" w:rsidRDefault="00DD102F">
      <w:pPr>
        <w:pStyle w:val="IEASources"/>
      </w:pPr>
      <w:r>
        <w:t xml:space="preserve">Sursă: AIE pe baza datelor de la Organizația Națiunilor Unite (2025), </w:t>
      </w:r>
      <w:hyperlink r:id="rId109" w:history="1">
        <w:r>
          <w:rPr>
            <w:rStyle w:val="Hyperlink"/>
          </w:rPr>
          <w:t>baza de date Comtrade a ONU (baza de date),</w:t>
        </w:r>
      </w:hyperlink>
      <w:r>
        <w:t xml:space="preserve"> accesată la 15 martie 2025. </w:t>
      </w:r>
    </w:p>
    <w:p w14:paraId="6A7FF745" w14:textId="77777777" w:rsidR="007D2814" w:rsidRDefault="00DD102F">
      <w:pPr>
        <w:pStyle w:val="Heading4"/>
      </w:pPr>
      <w:r>
        <w:t>Obstacole în calea adoptării pompelor de căldură</w:t>
      </w:r>
    </w:p>
    <w:p w14:paraId="4A3DFFC3" w14:textId="77777777" w:rsidR="007D2814" w:rsidRDefault="00DD102F">
      <w:pPr>
        <w:pStyle w:val="IEABodyText"/>
      </w:pPr>
      <w:r>
        <w:t xml:space="preserve">Există bariere notabile în calea adoptării pompelor de căldură în Moldova. Multe dintre acestea sunt comune altor țări, chiar și celor cu piețe consacrate ale pompelor de căldură și niveluri mai ridicate de conștientizare a consumatorilor cu privire la tehnologie. Cu toate acestea, depășirea acestor bariere va fi esențială pentru extinderea adoptării pompelor de căldură în Moldova. </w:t>
      </w:r>
    </w:p>
    <w:p w14:paraId="4789B2AE" w14:textId="77777777" w:rsidR="007D2814" w:rsidRDefault="00DD102F">
      <w:pPr>
        <w:pStyle w:val="IEABodyBulletTextlevel1"/>
      </w:pPr>
      <w:r>
        <w:rPr>
          <w:b/>
        </w:rPr>
        <w:t>Costul inițial al tehnologiei și al instalării.</w:t>
      </w:r>
      <w:r>
        <w:t xml:space="preserve"> Tehnologia pompelor de căldură este costisitoare în comparație cu tehnologiile de încălzire existente, cum ar fi sobele pe biomasă și cazanele pe gaz natural. Lipsa experienței și a dimensiunii industriei înseamnă că instalațiile sunt, de asemenea, costisitoare.</w:t>
      </w:r>
    </w:p>
    <w:p w14:paraId="0898AB0F" w14:textId="77777777" w:rsidR="007D2814" w:rsidRDefault="00DD102F">
      <w:pPr>
        <w:pStyle w:val="IEABodyBulletTextlevel1"/>
      </w:pPr>
      <w:r>
        <w:t xml:space="preserve">Performanță </w:t>
      </w:r>
      <w:r>
        <w:rPr>
          <w:b/>
        </w:rPr>
        <w:t xml:space="preserve">energetică scăzută a clădirilor. Parcul imobiliar existent al </w:t>
      </w:r>
      <w:r>
        <w:t>Moldovei suferă de o performanță scăzută. Acest lucru ar putea duce la performanțe slabe ale pompelor de căldură, la costuri ridicate și la o presiune semnificativă asupra rețelei electrice deja slabe.</w:t>
      </w:r>
    </w:p>
    <w:p w14:paraId="63E71CDD" w14:textId="3F5EC4F0" w:rsidR="007D2814" w:rsidRDefault="00715FB7">
      <w:pPr>
        <w:pStyle w:val="IEABodyBulletTextlevel1"/>
      </w:pPr>
      <w:r>
        <w:rPr>
          <w:b/>
        </w:rPr>
        <w:t>B</w:t>
      </w:r>
      <w:r w:rsidR="00DD102F">
        <w:rPr>
          <w:b/>
        </w:rPr>
        <w:t>iomas</w:t>
      </w:r>
      <w:r>
        <w:rPr>
          <w:b/>
        </w:rPr>
        <w:t>a</w:t>
      </w:r>
      <w:r w:rsidR="00DD102F">
        <w:rPr>
          <w:b/>
        </w:rPr>
        <w:t xml:space="preserve">. </w:t>
      </w:r>
      <w:r w:rsidR="00DD102F">
        <w:t xml:space="preserve">În special în zonele rurale, moldovenii se bazează în mare măsură pe sistemele de biomasă pentru încălzire. Biomasa este ieftină, provine din surse interne și, prin urmare, este considerată mai fiabilă decât combustibilii fosili. Cu toate acestea, utilizarea biomasei cauzează probleme ecologice și degradează calitatea aerului la nivel local, cu efecte dăunătoare asupra sănătății publice. În plus, sectorul exploatării terenurilor, schimbării destinației terenurilor și silviculturii (LULUCF) al țării a devenit un emițător net de gaze cu efect de seră începând din 2021, subminând și mai mult argumentele în favoarea extinderii încălzirii pe bază de biomasă. Cu toate acestea, în bine sau în rău, biomasa continuă, de </w:t>
      </w:r>
      <w:r w:rsidR="00DD102F">
        <w:lastRenderedPageBreak/>
        <w:t xml:space="preserve">asemenea, să joace un rol în a ajuta Moldova să-și îndeplinească obiectivele privind energia regenerabilă. </w:t>
      </w:r>
    </w:p>
    <w:p w14:paraId="344B2FE4" w14:textId="77777777" w:rsidR="007D2814" w:rsidRDefault="00DD102F">
      <w:pPr>
        <w:pStyle w:val="IEABodyBulletTextlevel1"/>
      </w:pPr>
      <w:r>
        <w:rPr>
          <w:b/>
        </w:rPr>
        <w:t xml:space="preserve">Lipsa informațiilor publice și a cererii din partea consumatorilor. </w:t>
      </w:r>
      <w:r>
        <w:t xml:space="preserve">Sensibilizarea publicului cu privire la pompele de căldură este scăzută, în timp ce mulți cetățeni sunt reticenți în a renunța la sistemele tradiționale de încălzire sau sunt preocupați de costurile de întreținere. Acest lucru duce la o cerere scăzută din partea consumatorilor, ceea ce, la rândul său, descurajează investițiile industriei în producție și formarea tehnicienilor. </w:t>
      </w:r>
    </w:p>
    <w:p w14:paraId="4378FCFE" w14:textId="77777777" w:rsidR="007D2814" w:rsidRDefault="00DD102F">
      <w:pPr>
        <w:pStyle w:val="IEABodyBulletTextlevel1"/>
      </w:pPr>
      <w:r>
        <w:rPr>
          <w:b/>
        </w:rPr>
        <w:t xml:space="preserve">Niveluri ridicate de sărăcie energetică. Sărăcia </w:t>
      </w:r>
      <w:r>
        <w:t xml:space="preserve">energetică este o preocupare majoră a guvernului. Se menține un decalaj între zonele rurale, care se bazează în mare măsură pe biomasă, și centrele urbane, unde încălzirea centralizată este mai frecventă. Acest lucru subliniază necesitatea unei politici energetice care să ia în considerare dimensiunea sărăciei energetice. </w:t>
      </w:r>
    </w:p>
    <w:p w14:paraId="138E7AD6" w14:textId="1B46E826" w:rsidR="007D2814" w:rsidRDefault="00DD102F">
      <w:pPr>
        <w:pStyle w:val="IEABodyBulletTextlevel1"/>
      </w:pPr>
      <w:r>
        <w:rPr>
          <w:b/>
        </w:rPr>
        <w:t xml:space="preserve">Infrastructură electrică slabă. Sistemele de transport și distribuție din </w:t>
      </w:r>
      <w:r>
        <w:t xml:space="preserve">Moldova sunt în întârziere în ceea ce privește modernizarea. Adăugarea unei sarcini electrice suplimentare va face această investiție mai presantă. Utilizarea unei surse electrice de încălzire fără o infrastructură de rețea </w:t>
      </w:r>
      <w:r w:rsidR="002A1AFD">
        <w:t>modernizată</w:t>
      </w:r>
      <w:r>
        <w:t xml:space="preserve"> ar putea prezenta riscuri semnificative.</w:t>
      </w:r>
    </w:p>
    <w:p w14:paraId="5C0B200F" w14:textId="77777777" w:rsidR="007D2814" w:rsidRDefault="00DD102F">
      <w:pPr>
        <w:pStyle w:val="IEABodyBulletTextlevel1"/>
      </w:pPr>
      <w:r>
        <w:rPr>
          <w:b/>
        </w:rPr>
        <w:t xml:space="preserve">Lipsa inginerilor instruiți pentru instalare și întreținere. </w:t>
      </w:r>
      <w:r>
        <w:t>Deficitul de tehnicieni instruiți duce la creșterea costurilor de instalare și se adaugă la factorul de bătaie de cap pentru consumatori, în special atunci când apar probleme tehnice și tehnicienii calificați nu sunt disponibili.</w:t>
      </w:r>
    </w:p>
    <w:p w14:paraId="31D9C1C2" w14:textId="77777777" w:rsidR="007D2814" w:rsidRDefault="00DD102F">
      <w:pPr>
        <w:pStyle w:val="IEABodyText"/>
      </w:pPr>
      <w:r>
        <w:t xml:space="preserve">Următoarele capitole vor examina soluțiile potențiale la aceste bariere. În multe cazuri, abordarea unei bariere – cum ar fi performanța energetică scăzută a clădirilor – poate reduce presiunea asupra altora, inclusiv asupra unei infrastructuri de energie electrică tensionate. Prin abordarea timpurie a acestor vulnerabilități, Moldova are posibilitatea de a-și extinde piața pompelor de căldură în mod durabil, sprijinindu-și în același timp cetățenii pe parcursul tranziției. </w:t>
      </w:r>
    </w:p>
    <w:p w14:paraId="04E452F2" w14:textId="54034202" w:rsidR="007D2814" w:rsidRDefault="00DD102F">
      <w:pPr>
        <w:rPr>
          <w:szCs w:val="21"/>
        </w:rPr>
      </w:pPr>
      <w:r>
        <w:br w:type="page"/>
      </w:r>
    </w:p>
    <w:p w14:paraId="7DDA8076" w14:textId="77777777" w:rsidR="007D2814" w:rsidRDefault="007D2814">
      <w:pPr>
        <w:pStyle w:val="Heading2"/>
        <w:sectPr w:rsidR="007D2814" w:rsidSect="00B833DE">
          <w:headerReference w:type="default" r:id="rId110"/>
          <w:endnotePr>
            <w:numFmt w:val="decimal"/>
            <w:numRestart w:val="eachSect"/>
          </w:endnotePr>
          <w:pgSz w:w="11906" w:h="16838" w:code="9"/>
          <w:pgMar w:top="1588" w:right="1588" w:bottom="1588" w:left="1588" w:header="709" w:footer="709" w:gutter="0"/>
          <w:cols w:space="708"/>
          <w:docGrid w:linePitch="360"/>
        </w:sectPr>
      </w:pPr>
      <w:bookmarkStart w:id="59" w:name="_Toc198194981"/>
    </w:p>
    <w:p w14:paraId="68F1F371" w14:textId="77777777" w:rsidR="007D2814" w:rsidRDefault="00DD102F">
      <w:pPr>
        <w:pStyle w:val="Heading2"/>
      </w:pPr>
      <w:bookmarkStart w:id="60" w:name="_Toc201571407"/>
      <w:r>
        <w:lastRenderedPageBreak/>
        <w:t>Construirea pieței</w:t>
      </w:r>
      <w:bookmarkEnd w:id="59"/>
      <w:bookmarkEnd w:id="60"/>
    </w:p>
    <w:p w14:paraId="25152D43" w14:textId="77777777" w:rsidR="007D2814" w:rsidRDefault="00DD102F">
      <w:pPr>
        <w:pStyle w:val="IEABodyText"/>
      </w:pPr>
      <w:r>
        <w:t xml:space="preserve">Acest capitol se axează pe stimularea cererii consumatorilor și a industriei de pompe de căldură, construind în același timp o bază de producători și instalatori. Acesta discută despre stabilirea prețurilor la energie, inclusiv taxele și impozitele pe energie electrică și gaze, stabilirea prețului carbonului și alte tipuri de instrumente pentru a încuraja instalarea pompelor de căldură în Moldova. </w:t>
      </w:r>
    </w:p>
    <w:p w14:paraId="38763CCE" w14:textId="77777777" w:rsidR="007D2814" w:rsidRDefault="00DD102F">
      <w:pPr>
        <w:pStyle w:val="Heading3"/>
      </w:pPr>
      <w:bookmarkStart w:id="61" w:name="_Toc198194982"/>
      <w:r>
        <w:t>Comunicarea</w:t>
      </w:r>
      <w:bookmarkEnd w:id="61"/>
    </w:p>
    <w:p w14:paraId="2B078008" w14:textId="77777777" w:rsidR="007D2814" w:rsidRDefault="00DD102F">
      <w:pPr>
        <w:pStyle w:val="IEABodyText"/>
      </w:pPr>
      <w:r>
        <w:t xml:space="preserve">Un obstacol principal identificat în timpul consultărilor cu părțile interesate pentru acest studiu a fost lipsa cunoștințelor și a experienței consumatorilor în ceea ce privește pompele de căldură. Aceasta este o problemă care ar trebui abordată în prealabil, deoarece poate duce la incertitudine cu privire la funcționarea pompelor de căldură și la răspândirea dezinformării cu privire la aplicațiile sau limitele acestora. În cele din urmă, lipsa de cunoștințe a consumatorilor poate suprima cererea, ceea ce, la rândul său, descurajează investițiile industriei atât în extinderea producției, cât și în formarea instalatorilor. </w:t>
      </w:r>
    </w:p>
    <w:p w14:paraId="59C77A89" w14:textId="77777777" w:rsidR="007D2814" w:rsidRDefault="00DD102F">
      <w:pPr>
        <w:pStyle w:val="IEABodyText"/>
      </w:pPr>
      <w:r>
        <w:t xml:space="preserve">Acest deficit de cunoștințe reprezintă un factor mai puțin important pentru rețelele de termoficare. Operatorii de rețea cunosc în mare măsură tehnologia și mulți dintre aceștia au participat la consultarea părților interesate organizată de AIE cu privire la acest proiect. În unele cazuri, întreprinderile au studiat deja fezabilitatea trecerii la pompele de căldură în rețelele lor; principalele lor preocupări sunt costul inițial ridicat al tehnologiei și deficitul de lucrători calificați în domeniul întreținerii. Expunerea sporită la exemple internaționale de pompe de căldură care alimentează rețelele de termoficare – o parte esențială a procesului de comunicare – ar putea stimula interesul industriei și ar putea oferi soluții inovatoare la provocările actuale. </w:t>
      </w:r>
    </w:p>
    <w:p w14:paraId="54B4CC7C" w14:textId="3B5740D1" w:rsidR="007D2814" w:rsidRDefault="00DD102F">
      <w:pPr>
        <w:pStyle w:val="IEABodyText"/>
      </w:pPr>
      <w:r>
        <w:t xml:space="preserve">Comunicarea eficientă este esențială încă de la început, deoarece abordarea lipsei de cunoștințe în avans este mult mai ușoară decât combaterea dezinformării pe scară largă. De asemenea, este posibil ca consumatorii să nu fie conștienți de stimulentele guvernamentale existente pentru promovarea pompelor de căldură, cu atât mai mult cu cât acestea au fost introduse abia în ultimii ani. Provocările energetice pentru perioada 2024-2025 generate de oprirea tranzitului gazelor </w:t>
      </w:r>
      <w:r w:rsidR="002A1AFD">
        <w:t xml:space="preserve">naturale de </w:t>
      </w:r>
      <w:r>
        <w:t>către Ucraina, alături de progresele înregistrate în diversificarea aprovizionării cu gaze naturale a Moldovei, oferă o oportunitate de a promova beneficiile pompelor de căldură.</w:t>
      </w:r>
    </w:p>
    <w:p w14:paraId="37158E69" w14:textId="77777777" w:rsidR="007D2814" w:rsidRDefault="00DD102F">
      <w:pPr>
        <w:pStyle w:val="IEABodyText"/>
      </w:pPr>
      <w:r>
        <w:lastRenderedPageBreak/>
        <w:t>Campaniile de sensibilizare privind pompele de căldură vor fi esențiale pentru educarea publicului cu privire la potențialul de reducere a costurilor pe termen lung pentru gospodării, precum și la beneficiile pentru mediu. Acestea vor contribui, de asemenea, la eliminarea unora dintre miturile comune observate în alte țări, cum ar fi preocupările legate de performanța pompelor de căldură în climatele reci și potențialele probleme de zgomot. Campaniile de sensibilizare ar trebui să vizeze și instalatorii, deoarece aceștia sunt adesea principalul punct de contact al consumatorilor și joacă un rol esențial în furnizarea de informații exacte.</w:t>
      </w:r>
    </w:p>
    <w:p w14:paraId="78F8FF08" w14:textId="77777777" w:rsidR="007D2814" w:rsidRDefault="007D2814">
      <w:pPr>
        <w:pStyle w:val="IEASource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blCellMar>
          <w:top w:w="284" w:type="dxa"/>
          <w:bottom w:w="284" w:type="dxa"/>
        </w:tblCellMar>
        <w:tblLook w:val="04A0" w:firstRow="1" w:lastRow="0" w:firstColumn="1" w:lastColumn="0" w:noHBand="0" w:noVBand="1"/>
      </w:tblPr>
      <w:tblGrid>
        <w:gridCol w:w="8730"/>
      </w:tblGrid>
      <w:tr w:rsidR="007D2814" w14:paraId="757E3232" w14:textId="77777777">
        <w:tc>
          <w:tcPr>
            <w:tcW w:w="9016" w:type="dxa"/>
            <w:shd w:val="clear" w:color="auto" w:fill="DBE5F1"/>
          </w:tcPr>
          <w:p w14:paraId="5105120F" w14:textId="77777777" w:rsidR="007D2814" w:rsidRDefault="00DD102F">
            <w:pPr>
              <w:pStyle w:val="IEABoxTitle"/>
            </w:pPr>
            <w:r>
              <w:t>Sporirea cunoștințelor consumatorilor pentru a extinde adoptarea pompelor de căldură</w:t>
            </w:r>
          </w:p>
          <w:p w14:paraId="76360390" w14:textId="57BC711A" w:rsidR="007D2814" w:rsidRDefault="00DD102F">
            <w:pPr>
              <w:pStyle w:val="IEABoxText"/>
            </w:pPr>
            <w:r>
              <w:t xml:space="preserve">O bună comunicare este esențială pentru promovarea pompelor de căldură, deoarece contribuie la îmbunătățirea cunoștințelor consumatorilor și a încrederii în tehnologie. Eforturile de creștere a gradului de conștientizare a consumatorilor pot fi conduse de guvern sau pot fi conduse chiar de industrie și de consumatori. Creșterea economică a Suediei ca piață a pompelor de căldură poate fi atribuită în mare parte eforturilor sale de a finanța cercetarea, de a oferi subvenții și împrumuturi și de a desfășura campanii de informare a consumatorilor. Suedia a dedicat jumătate din bugetul său de achiziții publice din 1993 campaniilor de informare menite să conecteze producătorii de pompe de căldură și gospodăriile. Ca urmare, vânzările de pompe de căldură </w:t>
            </w:r>
            <w:hyperlink r:id="rId111" w:history="1">
              <w:r>
                <w:rPr>
                  <w:rStyle w:val="Hyperlink"/>
                </w:rPr>
                <w:t>s-au dublat</w:t>
              </w:r>
            </w:hyperlink>
            <w:r>
              <w:t xml:space="preserve"> în anii care au urmat. </w:t>
            </w:r>
          </w:p>
          <w:p w14:paraId="328A0F6A" w14:textId="3EAC5566" w:rsidR="007D2814" w:rsidRDefault="00DD102F">
            <w:pPr>
              <w:pStyle w:val="IEABoxText"/>
              <w:rPr>
                <w:b/>
                <w:bCs/>
              </w:rPr>
            </w:pPr>
            <w:r>
              <w:t xml:space="preserve">În Finlanda, în perioada 2000-2018 </w:t>
            </w:r>
            <w:hyperlink r:id="rId112" w:history="1">
              <w:r>
                <w:rPr>
                  <w:rStyle w:val="Hyperlink"/>
                </w:rPr>
                <w:t>a avut loc</w:t>
              </w:r>
            </w:hyperlink>
            <w:r>
              <w:t xml:space="preserve"> o tranziție semnificativă a pompelor de căldură, în cadrul căreia instalațiile s-au mutat de la pompele de căldură de la sol la unitățile care funcționează în mare parte cu aer. Acest lucru a fost susținut de forumuri de discuții online care s-au axat pe pompele de căldură. Acest lucru a facilitat schimbul de experiență și consiliere privind modelele și dimensionarea pompelor de căldură, precum și recenziile producătorilor și a condus la înțelegerea din ce în ce mai mare de către consumatori a faptului că pompele de căldură cu sursă de aer pot funcționa la temperaturi scăzute. </w:t>
            </w:r>
          </w:p>
        </w:tc>
      </w:tr>
    </w:tbl>
    <w:p w14:paraId="31299EF9" w14:textId="77777777" w:rsidR="007D2814" w:rsidRDefault="00DD102F">
      <w:pPr>
        <w:pStyle w:val="Heading3"/>
      </w:pPr>
      <w:bookmarkStart w:id="62" w:name="_Toc198194983"/>
      <w:r>
        <w:t>Stimularea cererii de pompe de căldură</w:t>
      </w:r>
      <w:bookmarkEnd w:id="62"/>
      <w:r>
        <w:t xml:space="preserve"> </w:t>
      </w:r>
    </w:p>
    <w:p w14:paraId="24C4745A" w14:textId="3BE7C92F" w:rsidR="007D2814" w:rsidRDefault="00DD102F">
      <w:pPr>
        <w:pStyle w:val="IEABodyText"/>
      </w:pPr>
      <w:r>
        <w:t>Crearea unei cereri stabile și pe termen lung a consumatorilor de pompe de căldură este esențială pentru stimularea unei creșteri mai ample a industriei. Deși gradul limitat de conștientizare este un factor limitativ semnificativ, mai multe alte bariere limitează, de asemenea, adoptarea.</w:t>
      </w:r>
    </w:p>
    <w:p w14:paraId="1FB05586" w14:textId="179EE7AA" w:rsidR="007D2814" w:rsidRDefault="00DD102F">
      <w:pPr>
        <w:pStyle w:val="IEABodyText"/>
      </w:pPr>
      <w:r>
        <w:t xml:space="preserve">Ca și în alte țări, unul dintre principalele obstacole în calea adoptării pompelor de căldură în Moldova este costul inițial ridicat. Atât tehnologia, cât și instalarea acesteia rămân semnificativ mai scumpe decât sistemele tradiționale de încălzire independente care utilizează gaze naturale și biomasă. Reducerea costurilor </w:t>
      </w:r>
      <w:r>
        <w:lastRenderedPageBreak/>
        <w:t>inițiale pe termen lung, oferind în același timp sprijin pentru achizițiile de pompe de căldură pe termen scurt, va fi esențială. Soluțiile de abordare a acestei bariere în materie de costuri sunt discutate în capitolul următor privind finanțarea tranziției.</w:t>
      </w:r>
    </w:p>
    <w:p w14:paraId="4ACDAB54" w14:textId="7733CA43" w:rsidR="007D2814" w:rsidRDefault="00DD102F">
      <w:pPr>
        <w:pStyle w:val="IEABodyText"/>
      </w:pPr>
      <w:r>
        <w:t xml:space="preserve">Prețurile energiei </w:t>
      </w:r>
      <w:r w:rsidR="009B5C87">
        <w:t xml:space="preserve">electrică </w:t>
      </w:r>
      <w:r>
        <w:t xml:space="preserve">reprezintă o altă constrângere asupra absorbției pompelor de căldură. Acest lucru se datorează faptului că, în multe țări, energia electrică este mai scumpă decât combustibilii fosili pe unitate de energie. Datorită eficienței unei pompe de căldură, chiar dacă energia electrică este mai scumpă decât gazele naturale, căldura utilă produsă poate fi în continuare mai accesibilă. De exemplu, presupunând un coeficient de performanță foarte scăzut (COP = 2), chiar dacă prețul energiei electrice ar fi dublu față de prețul gazelor naturale pe unitate de energie, o pompă de căldură ar putea fi în continuare mai ieftină decât sistemele tradiționale de încălzire. </w:t>
      </w:r>
    </w:p>
    <w:p w14:paraId="6E3739DA" w14:textId="77777777" w:rsidR="007D2814" w:rsidRDefault="007D2814">
      <w:pPr>
        <w:pStyle w:val="IEABodyText"/>
      </w:pPr>
    </w:p>
    <w:p w14:paraId="4F329174" w14:textId="3E91478F" w:rsidR="007D2814" w:rsidRDefault="00DD102F">
      <w:pPr>
        <w:pStyle w:val="IEABodyText"/>
      </w:pPr>
      <w:r w:rsidRPr="00262FD4">
        <w:t xml:space="preserve">În Moldova, în 2023, raportul prețurilor a fost suficient de scăzut încât pompele de căldură au fost, într-adevăr, mai accesibile decât cazanele pe gaz. Conform </w:t>
      </w:r>
      <w:hyperlink r:id="rId113" w:history="1">
        <w:r w:rsidRPr="00262FD4">
          <w:rPr>
            <w:rStyle w:val="Hyperlink"/>
          </w:rPr>
          <w:t>bazei de date a AIE privind prețurile energiei, gospodăriile</w:t>
        </w:r>
      </w:hyperlink>
      <w:r w:rsidRPr="00262FD4">
        <w:t xml:space="preserve"> au plătit în medie 171 USD/MWh (2 950 MDL/MWh) pentru energie electrică și 107 USD/MWh (1 850 MDL/MWh) pentru gaze naturale. Presupunând o eficiență a cazanului pe gaz</w:t>
      </w:r>
      <w:r w:rsidR="009B5C87" w:rsidRPr="00262FD4">
        <w:t xml:space="preserve">e naturale </w:t>
      </w:r>
      <w:r w:rsidRPr="00262FD4">
        <w:t xml:space="preserve"> de 90 %, o pompă de căldură ar fi fost opțiunea mai economică la o COP de 1,5 sau mai mare.</w:t>
      </w:r>
    </w:p>
    <w:p w14:paraId="6202E41C" w14:textId="77777777" w:rsidR="007D2814" w:rsidRDefault="00DD102F">
      <w:pPr>
        <w:pStyle w:val="IEAFigureTitle"/>
      </w:pPr>
      <w:bookmarkStart w:id="63" w:name="_Toc198195012"/>
      <w:r>
        <w:t>Prețurile energiei rezidențiale și ratele prețurilor în țările selectate, 2023</w:t>
      </w:r>
      <w:bookmarkEnd w:id="63"/>
    </w:p>
    <w:p w14:paraId="2D973EDF" w14:textId="35CCD045" w:rsidR="007D2814" w:rsidRDefault="00DD102F">
      <w:pPr>
        <w:pStyle w:val="IEAFigurePlace"/>
      </w:pPr>
      <w:r>
        <w:rPr>
          <w:noProof/>
          <w:lang w:val="en-US"/>
        </w:rPr>
        <w:drawing>
          <wp:inline distT="0" distB="0" distL="0" distR="0" wp14:anchorId="51962FEE" wp14:editId="448D45B8">
            <wp:extent cx="5543550" cy="2616835"/>
            <wp:effectExtent l="0" t="0" r="0" b="0"/>
            <wp:docPr id="1735336315" name="Imagine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543550" cy="2616835"/>
                    </a:xfrm>
                    <a:prstGeom prst="rect">
                      <a:avLst/>
                    </a:prstGeom>
                    <a:noFill/>
                    <a:ln>
                      <a:noFill/>
                    </a:ln>
                  </pic:spPr>
                </pic:pic>
              </a:graphicData>
            </a:graphic>
          </wp:inline>
        </w:drawing>
      </w:r>
    </w:p>
    <w:p w14:paraId="2A82E60E" w14:textId="77777777" w:rsidR="007D2814" w:rsidRDefault="00DD102F">
      <w:pPr>
        <w:pStyle w:val="IEAFigureCopyright"/>
        <w:rPr>
          <w:b/>
          <w:bCs/>
        </w:rPr>
      </w:pPr>
      <w:r>
        <w:t>AIE CC BY 4.0</w:t>
      </w:r>
    </w:p>
    <w:p w14:paraId="7AC08352" w14:textId="77777777" w:rsidR="007D2814" w:rsidRDefault="00DD102F">
      <w:pPr>
        <w:pStyle w:val="IEASources"/>
      </w:pPr>
      <w:r>
        <w:t>Observații: Punctele albastre reprezintă raportul dintre prețul energiei electrice și cel al gazelor naturale, iar linia roșie corespunde unui raport de preț de 2:1 (axa dreaptă). Barele galbene reprezintă prețurile energiei electrice, iar barele violet reprezintă prețurile gazelor naturale (axa din stânga).</w:t>
      </w:r>
    </w:p>
    <w:p w14:paraId="467AD1A2" w14:textId="68F3D672" w:rsidR="007D2814" w:rsidRDefault="00DD102F">
      <w:pPr>
        <w:pStyle w:val="IEASources"/>
      </w:pPr>
      <w:r>
        <w:t xml:space="preserve">Sursă: AIE (2025), </w:t>
      </w:r>
      <w:hyperlink r:id="rId115" w:history="1">
        <w:r>
          <w:rPr>
            <w:rStyle w:val="Hyperlink"/>
          </w:rPr>
          <w:t>Prețurile energiei (bază de</w:t>
        </w:r>
      </w:hyperlink>
      <w:r>
        <w:t xml:space="preserve"> date), accesat la 23 martie 2025.</w:t>
      </w:r>
    </w:p>
    <w:p w14:paraId="4719B507" w14:textId="77777777" w:rsidR="007D2814" w:rsidRDefault="007D2814">
      <w:pPr>
        <w:pStyle w:val="IEAFigureClosing"/>
      </w:pPr>
    </w:p>
    <w:p w14:paraId="70C8FC9B" w14:textId="7E87F545" w:rsidR="007D2814" w:rsidRDefault="00DD102F">
      <w:pPr>
        <w:pStyle w:val="IEABodyText"/>
      </w:pPr>
      <w:r>
        <w:lastRenderedPageBreak/>
        <w:t xml:space="preserve">O altă pârghie pentru reducerea costurilor de funcționare a pompelor de căldură este punerea în aplicare a tarifelor pentru timpul de utilizare. Acestea pot fi fie dinamice, prețurile ajustându-se la intervale frecvente (de exemplu, la fiecare 15 minute) pe tot parcursul zilei, fie simplificând tarifele în timpul orelor de vârf și în afara orelor de vârf. Operatorii de distribuție din Moldova </w:t>
      </w:r>
      <w:hyperlink r:id="rId116" w:history="1">
        <w:r>
          <w:rPr>
            <w:rStyle w:val="Hyperlink"/>
          </w:rPr>
          <w:t>colaborează cu Ministerul Energiei</w:t>
        </w:r>
      </w:hyperlink>
      <w:r>
        <w:t xml:space="preserve"> pentru a pilota instalarea a 35 000 de contoare inteligente, parțial pentru a testa tarifele pentru timpul de utilizare.</w:t>
      </w:r>
    </w:p>
    <w:p w14:paraId="698FAE75" w14:textId="30C2E700" w:rsidR="007D2814" w:rsidRDefault="00DD102F">
      <w:pPr>
        <w:pStyle w:val="IEABodyText"/>
      </w:pPr>
      <w:r>
        <w:t xml:space="preserve">La începutul anului 2025, ANRE a aprobat tarife cu două intervale tarifare, între orele 07:00-23:00 și 23:00-07:00. S-a </w:t>
      </w:r>
      <w:hyperlink r:id="rId117" w:history="1">
        <w:r>
          <w:rPr>
            <w:rStyle w:val="Hyperlink"/>
          </w:rPr>
          <w:t>anunțat inițial</w:t>
        </w:r>
      </w:hyperlink>
      <w:r>
        <w:t xml:space="preserve"> că rata în afara orelor de vârf ar fi cu 25% până la 30% mai ieftină, în funcție de furnizor și de regiune. În același timp, autoritatea de reglementare a </w:t>
      </w:r>
      <w:hyperlink r:id="rId118" w:history="1">
        <w:r>
          <w:rPr>
            <w:rStyle w:val="Hyperlink"/>
          </w:rPr>
          <w:t xml:space="preserve">declarat că tarifele pentru încălzirea centralizată </w:t>
        </w:r>
      </w:hyperlink>
      <w:r>
        <w:t xml:space="preserve"> în </w:t>
      </w:r>
      <w:r w:rsidR="00351332">
        <w:t xml:space="preserve">municipiile </w:t>
      </w:r>
      <w:r>
        <w:t xml:space="preserve"> Chișinău și Bălți vor crește. De asemenea, ANRE </w:t>
      </w:r>
      <w:hyperlink r:id="rId119" w:history="1">
        <w:r>
          <w:rPr>
            <w:rStyle w:val="Hyperlink"/>
          </w:rPr>
          <w:t>și-a ajustat metodologia</w:t>
        </w:r>
      </w:hyperlink>
      <w:r>
        <w:t xml:space="preserve"> de calculare a tarifelor reglementate pentru gazele naturale în vederea alinierii la codul de rețea european.</w:t>
      </w:r>
    </w:p>
    <w:p w14:paraId="67204B4B" w14:textId="77777777" w:rsidR="007D2814" w:rsidRDefault="007D2814">
      <w:pPr>
        <w:pStyle w:val="IEABodyText"/>
        <w:rPr>
          <w:i/>
          <w:iCs/>
        </w:rPr>
      </w:pPr>
    </w:p>
    <w:p w14:paraId="4824AAED" w14:textId="33F17217" w:rsidR="007D2814" w:rsidRDefault="00DD102F">
      <w:pPr>
        <w:pStyle w:val="IEABodyText"/>
      </w:pPr>
      <w:r>
        <w:t xml:space="preserve">O altă evoluție cheie în stabilirea prețurilor la energie este înlocuirea sistemelor de încălzire de distribuție verticală învechite cu configurații orizontale moderne care permit contorizarea individuală a apartamentelor și facturarea bazată pe consum. De asemenea, </w:t>
      </w:r>
      <w:r w:rsidR="008A43B4">
        <w:t>se</w:t>
      </w:r>
      <w:r>
        <w:t xml:space="preserve"> permite consumatorilor să aleagă furnizori mai eficienți din punctul de vedere al costurilor sau furnizori care oferă pachete mai competitive.</w:t>
      </w:r>
    </w:p>
    <w:p w14:paraId="11A9AC32" w14:textId="1B72890D" w:rsidR="008A43B4" w:rsidRDefault="008A43B4" w:rsidP="008A43B4">
      <w:pPr>
        <w:pStyle w:val="IEABodyText"/>
      </w:pPr>
      <w:r>
        <w:t>În trecut, tarifele la energie electrică și gaze în Moldova nu au inclus subvenționare încrucișată între gospodăriile casnice. Toți consumatorii casnici au achitat același tarif reglementat, fără diferențiere în funcție de venit sau de volumul consumului. Structura tarifară nu a impus plăți mai mari pentru gospodăriile cu venituri mai ridicate și nici tarife preferențiale pentru consumatorii cu venituri mici.</w:t>
      </w:r>
    </w:p>
    <w:p w14:paraId="41BE1991" w14:textId="13B2E807" w:rsidR="007D2814" w:rsidRDefault="008A43B4" w:rsidP="00A42A0E">
      <w:pPr>
        <w:pStyle w:val="IEABodyText"/>
      </w:pPr>
      <w:r>
        <w:t>Sprijinul acordat consumatorilor vulnerabili a fost oferit prin mecanisme separate de compensare finanțate din bugetul de stat sau din surse externe, nu prin diferențierea tarifelor pe categorii sociale. Aceste măsuri au avut rolul de a atenua impactul creșterilor de preț asupra gospodăriilor sensibile, însă nu au modificat tariful de bază aplicat tuturor consumatorilor casnici.</w:t>
      </w:r>
      <w:r w:rsidR="00A42A0E">
        <w:t xml:space="preserve"> </w:t>
      </w:r>
      <w:r>
        <w:t>În acest context, provocarea principală rămâne reformarea tarifelor astfel încât acestea să reflecte costurile reale și să transmită semnale corecte privind prețul energiei, asigurând în același timp protecția consumatorilor vulnerabili prin instrumente de sprijin bine direcționate și transparente.</w:t>
      </w:r>
    </w:p>
    <w:p w14:paraId="34E7B6DA" w14:textId="7062A3B0" w:rsidR="007D2814" w:rsidRDefault="00DD102F">
      <w:pPr>
        <w:pStyle w:val="IEABodyText"/>
      </w:pPr>
      <w:r>
        <w:t xml:space="preserve">În multe țări, impozitele și taxele pe consum reprezintă o parte semnificativă din prețul plătit de utilizatorii finali. Aceste taxe servesc unui </w:t>
      </w:r>
      <w:hyperlink r:id="rId120" w:history="1">
        <w:r>
          <w:rPr>
            <w:rStyle w:val="Hyperlink"/>
          </w:rPr>
          <w:t>scop important,</w:t>
        </w:r>
      </w:hyperlink>
      <w:r>
        <w:t xml:space="preserve"> stimulând adesea investițiile în eficiența energetică și generând venituri publice pentru a sprijini energia curată. Cu toate acestea, ele sunt adesea aplicate în mod </w:t>
      </w:r>
      <w:r>
        <w:lastRenderedPageBreak/>
        <w:t xml:space="preserve">disproporționat energiei electrice în comparație cu gazele naturale și nu reflectă întotdeauna impactul asupra mediului al diferiților combustibili, în special al gazelor naturale și al biomasei. De asemenea, energia electrică este adesea supusă unor rate mai mari ale taxei pe valoarea adăugată (TVA) decât combustibilii fosili. </w:t>
      </w:r>
    </w:p>
    <w:p w14:paraId="385EA79B" w14:textId="651F6B3A" w:rsidR="007D2814" w:rsidRDefault="00DD102F">
      <w:pPr>
        <w:pStyle w:val="IEABodyText"/>
      </w:pPr>
      <w:r>
        <w:t>În 2022, în urma crizei energetice, costurile energiei au reprezentat aproximativ 54 % din factura medie de energie electrică a gospodăriilor europene, în timp ce 25 % au reflectat costurile infrastructurii de rețea. Aceasta a fost o creștere bruscă față de 2019 – când costurile energiei și ale rețelei au reprezentat împreună 59 % din factură. În 2024, impozitele și taxele au reprezentat 10 % din factură, în scădere de la 25 % în 2020. Costurile de rețea și cotele de TVA au rămas stabile în această perioadă.</w:t>
      </w:r>
    </w:p>
    <w:p w14:paraId="29F8E7CC" w14:textId="5DF88EDF" w:rsidR="007D2814" w:rsidRPr="00715FB7" w:rsidRDefault="00DD102F">
      <w:pPr>
        <w:pStyle w:val="P68B1DB1-IEABodyText8"/>
        <w:rPr>
          <w:highlight w:val="none"/>
        </w:rPr>
      </w:pPr>
      <w:r w:rsidRPr="00715FB7">
        <w:rPr>
          <w:highlight w:val="none"/>
        </w:rPr>
        <w:t xml:space="preserve">Spre deosebire de cea mai mare parte a Uniunii Europene, energia electrică și energia termică </w:t>
      </w:r>
      <w:r w:rsidR="00F10801">
        <w:rPr>
          <w:highlight w:val="none"/>
        </w:rPr>
        <w:t xml:space="preserve">furnizată prin sistemele de alimentare centralizată cu energie termică </w:t>
      </w:r>
      <w:r w:rsidRPr="00715FB7">
        <w:rPr>
          <w:highlight w:val="none"/>
        </w:rPr>
        <w:t xml:space="preserve">centralizată </w:t>
      </w:r>
      <w:r w:rsidR="00F10801">
        <w:rPr>
          <w:highlight w:val="none"/>
        </w:rPr>
        <w:t>consumnatorilor casnici</w:t>
      </w:r>
      <w:r w:rsidRPr="00715FB7">
        <w:rPr>
          <w:highlight w:val="none"/>
        </w:rPr>
        <w:t xml:space="preserve"> din Republica Moldova sunt scutite de TVA. TVA-ul pentru gazele naturale utilizate în gospodării este stabilit la 8 %. Astfel, prețurile energiei electrice pentru </w:t>
      </w:r>
      <w:r w:rsidR="00F10801">
        <w:rPr>
          <w:highlight w:val="none"/>
        </w:rPr>
        <w:t>consumatorii casnici</w:t>
      </w:r>
      <w:r w:rsidRPr="00715FB7">
        <w:rPr>
          <w:highlight w:val="none"/>
        </w:rPr>
        <w:t xml:space="preserve"> constau în </w:t>
      </w:r>
      <w:r w:rsidR="00F10801">
        <w:rPr>
          <w:highlight w:val="none"/>
        </w:rPr>
        <w:t xml:space="preserve">costuri pentru </w:t>
      </w:r>
      <w:r w:rsidRPr="00715FB7">
        <w:rPr>
          <w:highlight w:val="none"/>
        </w:rPr>
        <w:t xml:space="preserve">energie </w:t>
      </w:r>
      <w:r w:rsidR="00F10801">
        <w:rPr>
          <w:highlight w:val="none"/>
        </w:rPr>
        <w:t xml:space="preserve">electrică </w:t>
      </w:r>
      <w:r w:rsidRPr="00715FB7">
        <w:rPr>
          <w:highlight w:val="none"/>
        </w:rPr>
        <w:t xml:space="preserve">și </w:t>
      </w:r>
      <w:r w:rsidR="00F10801">
        <w:rPr>
          <w:highlight w:val="none"/>
        </w:rPr>
        <w:t xml:space="preserve">de </w:t>
      </w:r>
      <w:r w:rsidRPr="00715FB7">
        <w:rPr>
          <w:highlight w:val="none"/>
        </w:rPr>
        <w:t xml:space="preserve">furnizare (95 %) și costuri de rețea (5 %). Începând din 2025, nu există planuri confirmate de </w:t>
      </w:r>
      <w:r w:rsidR="00A42A0E">
        <w:rPr>
          <w:highlight w:val="none"/>
        </w:rPr>
        <w:t>introducere</w:t>
      </w:r>
      <w:r w:rsidR="00A42A0E" w:rsidRPr="00715FB7">
        <w:rPr>
          <w:highlight w:val="none"/>
        </w:rPr>
        <w:t xml:space="preserve"> </w:t>
      </w:r>
      <w:r w:rsidRPr="00715FB7">
        <w:rPr>
          <w:highlight w:val="none"/>
        </w:rPr>
        <w:t>a TVA-ului, însă nicio ajustare viitoare nu trebuie să creeze un dezechilibru între prețurile energiei electrice și cele ale gazelor naturale. În plus, TVA-ul sau alte taxe nu ar trebui să fie principalul instrument de contabilizare a externalităților, de exemplu a impactului asupra mediului, ci o componentă suplimentară de preț, cum ar fi taxa pe carbon inclusă în prețul combustibililor fosili.  Impozitarea echilibrată va contribui la creșterea competitivității pompelor de căldură în ceea ce privește costurile de exploatare.</w:t>
      </w:r>
    </w:p>
    <w:p w14:paraId="1206CD26" w14:textId="77777777" w:rsidR="007D2814" w:rsidRDefault="007D2814">
      <w:pPr>
        <w:pStyle w:val="IEABodyText"/>
      </w:pPr>
    </w:p>
    <w:p w14:paraId="147DDDB9" w14:textId="77777777" w:rsidR="007D2814" w:rsidRDefault="007D2814">
      <w:pPr>
        <w:pStyle w:val="IEABodyText"/>
      </w:pPr>
    </w:p>
    <w:p w14:paraId="5FD9A0BC" w14:textId="77777777" w:rsidR="007D2814" w:rsidRDefault="007D2814">
      <w:pPr>
        <w:pStyle w:val="IEABodyText"/>
      </w:pPr>
    </w:p>
    <w:p w14:paraId="2250BA0E" w14:textId="01617753" w:rsidR="007D2814" w:rsidRDefault="00DD102F">
      <w:pPr>
        <w:pStyle w:val="IEAFigureTitle"/>
      </w:pPr>
      <w:bookmarkStart w:id="64" w:name="_Toc198195013"/>
      <w:r>
        <w:lastRenderedPageBreak/>
        <w:t>Evoluția componentelor prețului energiei electrice în UE-27 ca procent din tarifele de consum, 2019-2024</w:t>
      </w:r>
      <w:bookmarkEnd w:id="64"/>
    </w:p>
    <w:p w14:paraId="4378D631" w14:textId="42045ED0" w:rsidR="007D2814" w:rsidRDefault="00DD102F">
      <w:pPr>
        <w:pStyle w:val="IEAFigurePlace"/>
      </w:pPr>
      <w:r>
        <w:rPr>
          <w:noProof/>
          <w:lang w:val="en-US"/>
        </w:rPr>
        <w:drawing>
          <wp:inline distT="0" distB="0" distL="0" distR="0" wp14:anchorId="7961E4D0" wp14:editId="01BD65FD">
            <wp:extent cx="5543550" cy="2288540"/>
            <wp:effectExtent l="0" t="0" r="0" b="0"/>
            <wp:docPr id="27" name="Imagine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1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543550" cy="2288540"/>
                    </a:xfrm>
                    <a:prstGeom prst="rect">
                      <a:avLst/>
                    </a:prstGeom>
                    <a:noFill/>
                    <a:ln>
                      <a:noFill/>
                    </a:ln>
                  </pic:spPr>
                </pic:pic>
              </a:graphicData>
            </a:graphic>
          </wp:inline>
        </w:drawing>
      </w:r>
    </w:p>
    <w:p w14:paraId="74FF8F24" w14:textId="77777777" w:rsidR="007D2814" w:rsidRDefault="00DD102F">
      <w:pPr>
        <w:pStyle w:val="IEAFigureCopyright"/>
        <w:rPr>
          <w:b/>
          <w:bCs/>
        </w:rPr>
      </w:pPr>
      <w:r>
        <w:t>AIE CC BY 4.0</w:t>
      </w:r>
    </w:p>
    <w:p w14:paraId="0B23598F" w14:textId="64AFED36" w:rsidR="007D2814" w:rsidRDefault="00DD102F">
      <w:pPr>
        <w:pStyle w:val="IEASources"/>
      </w:pPr>
      <w:r>
        <w:t>Observații: UE-27 = Austria, Belgia, Bulgaria, Croația, Republica Cipru,</w:t>
      </w:r>
      <w:r>
        <w:rPr>
          <w:rStyle w:val="FootnoteReference"/>
        </w:rPr>
        <w:footnoteReference w:id="6"/>
      </w:r>
      <w:r>
        <w:t>Republica Cehă, Danemarca, Estonia, Finlanda, Franța, Germania, Grecia, Ungaria, Irlanda, Italia, Letonia, Lituania, Luxemburg, Malta, Țările de Jos, Polonia, Portugalia, România, Republica Slovacă, Slovenia, Spania și Suedia.</w:t>
      </w:r>
    </w:p>
    <w:p w14:paraId="662F71A1" w14:textId="4AA0446F" w:rsidR="007D2814" w:rsidRDefault="00DD102F">
      <w:pPr>
        <w:pStyle w:val="IEASources"/>
      </w:pPr>
      <w:r>
        <w:t xml:space="preserve">Sursă: AIE pe baza datelor Eurostat (2025), </w:t>
      </w:r>
      <w:hyperlink r:id="rId122" w:history="1">
        <w:r>
          <w:rPr>
            <w:rStyle w:val="Hyperlink"/>
          </w:rPr>
          <w:t>a prețurilor energiei electrice pentru consumatorii casnici – date bianuale (set de date,</w:t>
        </w:r>
      </w:hyperlink>
      <w:r>
        <w:t xml:space="preserve"> accesat la 1 iunie 2025) și </w:t>
      </w:r>
      <w:hyperlink r:id="rId123" w:history="1">
        <w:r>
          <w:rPr>
            <w:rStyle w:val="Hyperlink"/>
          </w:rPr>
          <w:t>a prețurilor gazelor pentru consumatorii casnici – date bianuale</w:t>
        </w:r>
      </w:hyperlink>
      <w:r>
        <w:t xml:space="preserve"> (set de date, accesat la 1 iunie 2025). </w:t>
      </w:r>
    </w:p>
    <w:p w14:paraId="4932B0CC" w14:textId="77777777" w:rsidR="007D2814" w:rsidRDefault="007D2814">
      <w:pPr>
        <w:pStyle w:val="IEAFigureClosing"/>
      </w:pPr>
    </w:p>
    <w:p w14:paraId="5CFB811F" w14:textId="77777777" w:rsidR="007D2814" w:rsidRDefault="007D2814">
      <w:pPr>
        <w:pStyle w:val="IEASource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blCellMar>
          <w:top w:w="284" w:type="dxa"/>
          <w:bottom w:w="284" w:type="dxa"/>
        </w:tblCellMar>
        <w:tblLook w:val="04A0" w:firstRow="1" w:lastRow="0" w:firstColumn="1" w:lastColumn="0" w:noHBand="0" w:noVBand="1"/>
      </w:tblPr>
      <w:tblGrid>
        <w:gridCol w:w="8730"/>
      </w:tblGrid>
      <w:tr w:rsidR="007D2814" w14:paraId="057BC3EB" w14:textId="77777777">
        <w:tc>
          <w:tcPr>
            <w:tcW w:w="9016" w:type="dxa"/>
            <w:shd w:val="clear" w:color="auto" w:fill="DBE5F1"/>
          </w:tcPr>
          <w:p w14:paraId="4E62A6C0" w14:textId="77777777" w:rsidR="007D2814" w:rsidRDefault="00DD102F">
            <w:pPr>
              <w:pStyle w:val="IEABoxTitle"/>
            </w:pPr>
            <w:r>
              <w:t>Reechilibrarea taxelor și impozitelor pe energie în Țările de Jos</w:t>
            </w:r>
          </w:p>
          <w:p w14:paraId="63C9E9E7" w14:textId="7999BFAE" w:rsidR="007D2814" w:rsidRDefault="00DD102F">
            <w:pPr>
              <w:pStyle w:val="IEABoxText"/>
            </w:pPr>
            <w:r>
              <w:t xml:space="preserve">În întreaga Europă, țările tind să aplice o impozitare a energiei pe unitate de energie mai mare pentru energia electrică decât pentru combustibilii fosili. Acest lucru a fost valabil mai ales în țările care, din punct de vedere istoric, au fost cele mai dependente de gazele naturale, cum ar fi Germania, Țările de Jos și Regatul Unit. Aceste taxe și impozite pot fi reechilibrate în diferite moduri pentru a reflecta mai bine externalitățile lor de mediu. Țările de Jos au stimulat eficiența energetică și încălzirea curată prin creșterea constantă a impozitării gazelor naturale, reducând în același timp impozitele pe energia electrică și oferind o compensație forfetară consumatorilor. Între 2013 și 2021, </w:t>
            </w:r>
            <w:hyperlink r:id="rId124" w:history="1">
              <w:r>
                <w:rPr>
                  <w:rStyle w:val="Hyperlink"/>
                </w:rPr>
                <w:t>ratele de impozitare pentru o gospodărie tipică au crescut</w:t>
              </w:r>
            </w:hyperlink>
            <w:r>
              <w:t xml:space="preserve"> cu 84 % pentru gazele naturale și au scăzut cu 25 % pentru energia electrică. Olanda se mândrește acum cu unul dintre cele mai mici raporturi dintre prețul energiei electrice și cel al gazelor naturale din Europa.</w:t>
            </w:r>
          </w:p>
          <w:p w14:paraId="48F54C45" w14:textId="3F599A8F" w:rsidR="007D2814" w:rsidRDefault="00DD102F">
            <w:pPr>
              <w:pStyle w:val="IEABoxText"/>
            </w:pPr>
            <w:r>
              <w:lastRenderedPageBreak/>
              <w:t xml:space="preserve">Această reformă fiscală a stimulat vânzările de pompe de căldură în Țările de Jos și, potrivit unor estimări, a </w:t>
            </w:r>
            <w:hyperlink r:id="rId125" w:history="1">
              <w:r>
                <w:rPr>
                  <w:rStyle w:val="Hyperlink"/>
                </w:rPr>
                <w:t>făcut ca pompele de căldură să fie mai accesibile din punctul</w:t>
              </w:r>
            </w:hyperlink>
            <w:r>
              <w:t xml:space="preserve"> de vedere al costului total de proprietate în comparație cu cazanele pe gaz natural. O astfel de reechilibrare fiscală poate îmbunătăți accesibilitatea din punct de vedere financiar a pompelor de căldură, dar trebuie să se acorde atenție evitării impactului disproporționat asupra gospodăriilor cu venituri mici, care ar putea să nu dispună de resursele necesare pentru a trece la încălzirea electrică și care ar putea fi împovărate de taxe mai mari pe combustibilii fosili. </w:t>
            </w:r>
          </w:p>
        </w:tc>
      </w:tr>
    </w:tbl>
    <w:p w14:paraId="7817C178" w14:textId="77777777" w:rsidR="007D2814" w:rsidRDefault="007D2814"/>
    <w:p w14:paraId="42661427" w14:textId="56B9319D" w:rsidR="007D2814" w:rsidRDefault="00DD102F">
      <w:pPr>
        <w:pStyle w:val="IEABodyText"/>
      </w:pPr>
      <w:r>
        <w:t xml:space="preserve">O altă modalitate de a stimula cererea de pompe de căldură este prin intermediul programelor de obligații în materie de eficiență energetică (EEO), care necesită utilități energetice pentru a-și ajuta clienții să atingă obiective specifice de economisire a energiei. Operatorii economici autorizați includ adesea pompele de căldură ca tehnologie eligibilă datorită potențialului lor de economisire a energiei. Schema de obligații în materie de eficiență energetică a Republicii Moldova (Legea nr. 139/2018) și aprobarea programului (Hotărârea Guvernului nr. 1064/2023) </w:t>
      </w:r>
      <w:hyperlink r:id="rId126" w:history="1">
        <w:r>
          <w:rPr>
            <w:rStyle w:val="Hyperlink"/>
          </w:rPr>
          <w:t>permit instalațiilor cu pompe de căldură</w:t>
        </w:r>
      </w:hyperlink>
      <w:r>
        <w:t xml:space="preserve"> să îndeplinească aceste obiective de economisire a energiei.</w:t>
      </w:r>
    </w:p>
    <w:p w14:paraId="611FE3DF" w14:textId="40BA93B3" w:rsidR="007D2814" w:rsidRDefault="00DD102F">
      <w:pPr>
        <w:pStyle w:val="IEABodyText"/>
      </w:pPr>
      <w:r>
        <w:t xml:space="preserve">În Uniunea Europeană, începând cu 1 ianuarie 2024, </w:t>
      </w:r>
      <w:hyperlink r:id="rId127" w:history="1">
        <w:r>
          <w:rPr>
            <w:rStyle w:val="Hyperlink"/>
          </w:rPr>
          <w:t>Directiva privind eficiența energetică</w:t>
        </w:r>
      </w:hyperlink>
      <w:r>
        <w:t xml:space="preserve"> nu mai permite ca măsurile referitoare la utilizarea combustibililor fosili să fie luate în considerare în vederea atingerii obiectivelor privind economiile de energie. În practică, aceasta înseamnă că înlocuirea unui cazan pe gaz natural cu un model mai eficient nu va fi luată în considerare în vederea atingerii obiectivelor. </w:t>
      </w:r>
    </w:p>
    <w:p w14:paraId="1F75DBB3" w14:textId="171BE03E" w:rsidR="007D2814" w:rsidRDefault="00DD102F">
      <w:pPr>
        <w:pStyle w:val="IEABodyText"/>
      </w:pPr>
      <w:r>
        <w:t xml:space="preserve">Există și alte mecanisme pentru îmbunătățirea economiei de funcționare a pompelor de căldură în raport cu gazele naturale. Multe țări au introdus prețuri ale carbonului care impozitează combustibilii fosili proporțional cu emisiile lor de carbon. În Suedia, introducerea unui preț al carbonului a avut un rol esențial în extinderea pieței pompelor de căldură. Uniunea Europeană este pe cale să introducă o actualizare a </w:t>
      </w:r>
      <w:hyperlink r:id="rId128" w:history="1">
        <w:r>
          <w:rPr>
            <w:rStyle w:val="Hyperlink"/>
          </w:rPr>
          <w:t>schemei sale de comercializare a certificatelor de emisii</w:t>
        </w:r>
      </w:hyperlink>
      <w:r>
        <w:t xml:space="preserve"> (ETS2), care va viza combustibilii utilizați pentru încălzire și transport. Se preconizează că ETS2 va intra în vigoare în 2027. </w:t>
      </w:r>
    </w:p>
    <w:p w14:paraId="077A14E8" w14:textId="77777777" w:rsidR="007D2814" w:rsidRDefault="00DD102F">
      <w:pPr>
        <w:pStyle w:val="IEABodyText"/>
      </w:pPr>
      <w:r>
        <w:t xml:space="preserve">Stimularea cererii de încălzire industrială și centralizată pentru pompele de căldură prezintă provocări semnificative. Chiar și în țările cu piețe și industrii mai mature ale pompelor de căldură, utilizarea pompelor de căldură pentru aceste aplicații rămâne incipientă. Spre deosebire de aplicațiile rezidențiale, proiectele de pompe de căldură industriale și centralizate necesită soluții personalizate, investiții de capital mai mari și integrarea cu infrastructura energetică existentă – ceea ce face ca adoptarea să fie mai complexă. Multe industrii și municipalități nu sunt conștiente de capacitățile depline ale pompelor de căldură, în special de eficiența </w:t>
      </w:r>
      <w:r>
        <w:lastRenderedPageBreak/>
        <w:t xml:space="preserve">acestora în ceea ce privește furnizarea de temperaturi ridicate și de potențialul lor de a se integra în sursele de căldură reziduală. </w:t>
      </w:r>
    </w:p>
    <w:p w14:paraId="7180C891" w14:textId="77777777" w:rsidR="007D2814" w:rsidRDefault="00DD102F">
      <w:pPr>
        <w:pStyle w:val="IEABodyText"/>
      </w:pPr>
      <w:r>
        <w:t>Primul pas către extinderea implementării este comunicarea clară și specifică a avantajelor pompelor de căldură, inclusiv economiile de energie, reducerea emisiilor și beneficiile pe termen lung în materie de costuri. Prin încurajarea dialogului între factorii de decizie politică, liderii din industrie și furnizorii de tehnologie, piața poate consolida încrederea, poate aborda lacunele în materie de cunoștințe și poate deschide calea către o adoptare mai largă.</w:t>
      </w:r>
    </w:p>
    <w:p w14:paraId="074CED94" w14:textId="77777777" w:rsidR="007D2814" w:rsidRDefault="00DD102F">
      <w:pPr>
        <w:pStyle w:val="Heading3"/>
      </w:pPr>
      <w:bookmarkStart w:id="65" w:name="_Toc198194984"/>
      <w:r>
        <w:t>Creșterea alimentării cu pompă de căldură</w:t>
      </w:r>
      <w:bookmarkEnd w:id="65"/>
      <w:r>
        <w:t xml:space="preserve"> </w:t>
      </w:r>
    </w:p>
    <w:p w14:paraId="2D42E902" w14:textId="77777777" w:rsidR="007D2814" w:rsidRDefault="00DD102F">
      <w:pPr>
        <w:pStyle w:val="IEABodyText"/>
      </w:pPr>
      <w:r>
        <w:t xml:space="preserve">Deși stimularea cererii de pompe de căldură este importantă pentru a pune bazele unei industrii în creștere, există încă măsuri importante care să contribuie la stimularea ofertei de pompe de căldură în același timp. </w:t>
      </w:r>
    </w:p>
    <w:p w14:paraId="7AF1CBF0" w14:textId="6DBBD0C9" w:rsidR="007D2814" w:rsidRDefault="00DD102F">
      <w:pPr>
        <w:pStyle w:val="IEABodyText"/>
      </w:pPr>
      <w:r>
        <w:t xml:space="preserve">Acolo unde există, pompele de căldură din Moldova sunt în mare parte importate, dar există producători consacrați activi în acest sector. ALTAL Grup S.R.L., fondată în 2008 la Chișinău, </w:t>
      </w:r>
      <w:hyperlink r:id="rId129" w:history="1">
        <w:r>
          <w:rPr>
            <w:rStyle w:val="Hyperlink"/>
          </w:rPr>
          <w:t>produce pompe de căldură aer-sursă și geotermale și</w:t>
        </w:r>
      </w:hyperlink>
      <w:r>
        <w:t xml:space="preserve"> prestează servicii de prelucrare a metalelor. DINA COCIUG S.R.L., înființată în 2003, </w:t>
      </w:r>
      <w:hyperlink r:id="rId130" w:history="1">
        <w:r>
          <w:rPr>
            <w:rStyle w:val="Hyperlink"/>
          </w:rPr>
          <w:t>construiește echipamente de refrigerare comerciale</w:t>
        </w:r>
      </w:hyperlink>
      <w:r>
        <w:t>, inclusiv pompe de căldură aer-aer (unități de climatizare). Asemenea importatorilor de pompe de căldură, aceste societăți sunt specializate în aplicații rezidențiale și comerciale. Prin urmare, pompele de căldură industriale și la scară districtuală nu au o prezență de producție în țară.</w:t>
      </w:r>
    </w:p>
    <w:p w14:paraId="2929AAB4" w14:textId="0BAF999C" w:rsidR="007D2814" w:rsidRDefault="00DD102F">
      <w:pPr>
        <w:pStyle w:val="IEABodyText"/>
      </w:pPr>
      <w:r>
        <w:t xml:space="preserve">Ar putea fi utilizate diverse stimulente pentru a încuraja investițiile în industria pompelor de căldură interne din Moldova. Scutirile fiscale pentru noile instalații de producere a pompelor de căldură, de exemplu, pot fi eficiente. În Polonia, reducerea impozitelor pe profit în Zonele Economice Speciale a încurajat producătorii internaționali de pompe de căldură precum </w:t>
      </w:r>
      <w:hyperlink r:id="rId131" w:history="1">
        <w:r>
          <w:rPr>
            <w:rStyle w:val="Hyperlink"/>
          </w:rPr>
          <w:t>Daikin</w:t>
        </w:r>
      </w:hyperlink>
      <w:r>
        <w:t xml:space="preserve"> și </w:t>
      </w:r>
      <w:hyperlink r:id="rId132" w:history="1">
        <w:r>
          <w:rPr>
            <w:rStyle w:val="Hyperlink"/>
          </w:rPr>
          <w:t>Viessmann</w:t>
        </w:r>
      </w:hyperlink>
      <w:r>
        <w:t xml:space="preserve"> să construiască facilități de producție acolo. Garanțiile pentru împrumuturile publice pot contribui, de asemenea, la reducerea riscului pentru investitori, în timp ce instituțiile financiare internaționale oferă împrumuturi cu dobândă redusă și granturi pentru proiecte de producție ecologică. (Banca Europeană pentru Reconstrucție și Dezvoltare, precum și Banca Mondială au o istorie de susținere a proiectelor în Moldova.) </w:t>
      </w:r>
    </w:p>
    <w:p w14:paraId="3E868040" w14:textId="77777777" w:rsidR="007D2814" w:rsidRDefault="00DD102F">
      <w:pPr>
        <w:pStyle w:val="IEABodyText"/>
      </w:pPr>
      <w:r>
        <w:t xml:space="preserve">Chiar și în țările cu piețe mature ale pompelor de căldură, lacunele în materie de competențe pot încetini adoptarea pompelor de căldură. Este important să planificăm dezvoltarea industriei încă de la început și să ne asigurăm că există o forță de muncă instruită pentru instalarea și întreținerea pompelor de căldură în Moldova. Certificarea tehnicienilor pompelor de căldură poate juca un rol important în acest sens. </w:t>
      </w:r>
    </w:p>
    <w:p w14:paraId="48F2EE51" w14:textId="56B3E4A2" w:rsidR="007D2814" w:rsidRDefault="00DD102F">
      <w:pPr>
        <w:pStyle w:val="IEABodyText"/>
      </w:pPr>
      <w:r>
        <w:lastRenderedPageBreak/>
        <w:t xml:space="preserve">Asociația europeană a pompelor de căldură (EHPA) oferă programul </w:t>
      </w:r>
      <w:hyperlink r:id="rId133" w:history="1">
        <w:r>
          <w:rPr>
            <w:rStyle w:val="Hyperlink"/>
          </w:rPr>
          <w:t>EUCERT</w:t>
        </w:r>
      </w:hyperlink>
      <w:r>
        <w:t xml:space="preserve"> pentru formarea și certificarea instalatorilor din întreaga Uniune Europeană, în timp ce inițiativele naționale, cum ar fi sistemul de certificare BWP din Germania și </w:t>
      </w:r>
      <w:hyperlink r:id="rId134" w:history="1">
        <w:r>
          <w:rPr>
            <w:rStyle w:val="Hyperlink"/>
          </w:rPr>
          <w:t>QualiPAC</w:t>
        </w:r>
      </w:hyperlink>
      <w:r>
        <w:t xml:space="preserve"> din Franța, oferă formare și acreditare standardizate. În altă parte, certificarea North American Technician Excellence (NATE)</w:t>
      </w:r>
      <w:hyperlink r:id="rId135" w:history="1">
        <w:r w:rsidR="009F0B5C" w:rsidRPr="009F0B5C">
          <w:rPr>
            <w:rStyle w:val="Hyperlink"/>
            <w:szCs w:val="20"/>
          </w:rPr>
          <w:t>https://natex.org/</w:t>
        </w:r>
      </w:hyperlink>
      <w:r>
        <w:t xml:space="preserve">asigură că profesioniștii HVAC sunt calificați să instaleze și să mențină pompe de căldură, în timp ce orașe precum New York oferă, de asemenea, formare subvenționată. Canada </w:t>
      </w:r>
      <w:hyperlink r:id="rId136" w:history="1">
        <w:r>
          <w:rPr>
            <w:rStyle w:val="Hyperlink"/>
          </w:rPr>
          <w:t>oferă granturi</w:t>
        </w:r>
      </w:hyperlink>
      <w:r>
        <w:t xml:space="preserve"> pentru formarea instalatorilor de pompe de căldură, iar industria oferă programe de certificare. Acest lucru este valabil și în Japonia, care certifică tehnicienii prin intermediul colegiilor tehnice. Moldova își poate actualiza </w:t>
      </w:r>
      <w:r w:rsidR="00715FB7">
        <w:t>Hot</w:t>
      </w:r>
      <w:r w:rsidR="00715FB7">
        <w:rPr>
          <w:lang w:val="ro-RO"/>
        </w:rPr>
        <w:t>ărârea Guvernului</w:t>
      </w:r>
      <w:r>
        <w:t xml:space="preserve"> nr. 1051/2018, care include reglementarea calificării și înregistrării instalatorilor de pompe de căldură, pentru a dezvolta un astfel de program de certificare. De asemenea, poate integra în continuare pompele de căldură în diplomele de inginerie existente la Universitatea Tehnică a Moldovei. </w:t>
      </w:r>
    </w:p>
    <w:p w14:paraId="1D3DC842" w14:textId="0037F4AC" w:rsidR="007D2814" w:rsidRDefault="00DD102F">
      <w:pPr>
        <w:pStyle w:val="IEABodyText"/>
      </w:pPr>
      <w:r>
        <w:t xml:space="preserve">În ceea ce privește aplicațiile de încălzire centralizată, părțile interesate locale au indicat că menținerea acestor sisteme prezintă provocări. Adesea, instalatorii inițiali nu oferă servicii de întreținere continuă, iar expertiza specializată necesară nu este disponibilă la nivel intern. Acest decalaj îi determină pe mulți operatori de termoficare să prefere modelele Energy Service Company (ESCO) care oferă soluții cuprinzătoare, inclusiv întreținere garantată. SSE nu numai că gestionează instalarea, ci asigură și funcționarea și întreținerea pe termen lung a sistemelor de pompe de căldură, adesea în temeiul unor contracte bazate pe performanță. </w:t>
      </w:r>
      <w:hyperlink r:id="rId137" w:history="1">
        <w:r>
          <w:rPr>
            <w:rStyle w:val="Hyperlink"/>
          </w:rPr>
          <w:t>Proiectul Wandsworth Riverside</w:t>
        </w:r>
      </w:hyperlink>
      <w:r>
        <w:t xml:space="preserve"> din Londra se bazează pe un ESCO pentru a opera sistemul său de încălzire și răcire, de exemplu.</w:t>
      </w:r>
    </w:p>
    <w:p w14:paraId="31535417" w14:textId="77777777" w:rsidR="007D2814" w:rsidRDefault="007D2814">
      <w:pPr>
        <w:pStyle w:val="IEASource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blCellMar>
          <w:top w:w="284" w:type="dxa"/>
          <w:bottom w:w="284" w:type="dxa"/>
        </w:tblCellMar>
        <w:tblLook w:val="04A0" w:firstRow="1" w:lastRow="0" w:firstColumn="1" w:lastColumn="0" w:noHBand="0" w:noVBand="1"/>
      </w:tblPr>
      <w:tblGrid>
        <w:gridCol w:w="8730"/>
      </w:tblGrid>
      <w:tr w:rsidR="007D2814" w14:paraId="295F0730" w14:textId="77777777">
        <w:tc>
          <w:tcPr>
            <w:tcW w:w="9016" w:type="dxa"/>
            <w:shd w:val="clear" w:color="auto" w:fill="DBE5F1"/>
          </w:tcPr>
          <w:p w14:paraId="5F33518C" w14:textId="00AAE27A" w:rsidR="007D2814" w:rsidRDefault="00DD102F">
            <w:pPr>
              <w:pStyle w:val="IEABoxTitle"/>
            </w:pPr>
            <w:r>
              <w:t>Sprijin guvernamental pentru formarea instalatorilor</w:t>
            </w:r>
          </w:p>
          <w:p w14:paraId="4ECC42D2" w14:textId="2893C8F0" w:rsidR="007D2814" w:rsidRDefault="00DD102F">
            <w:pPr>
              <w:pStyle w:val="IEABoxText"/>
            </w:pPr>
            <w:r>
              <w:t xml:space="preserve">În întreaga Europă, țările recunosc că deficitul de tehnicieni instruiți reprezintă un obstacol major în calea intensificării implementării pompelor de căldură. Guvernele iau măsuri pentru a încuraja industria să instruiască (și să recalifice) instalatorii pentru a satisface cererea tot mai mare de pompe de căldură. </w:t>
            </w:r>
          </w:p>
          <w:p w14:paraId="7A627DC6" w14:textId="34933F49" w:rsidR="007D2814" w:rsidRDefault="00DD102F">
            <w:pPr>
              <w:pStyle w:val="IEABoxText"/>
            </w:pPr>
            <w:r>
              <w:t xml:space="preserve">Regatul </w:t>
            </w:r>
            <w:hyperlink r:id="rId138" w:history="1">
              <w:r>
                <w:rPr>
                  <w:rStyle w:val="Hyperlink"/>
                  <w:color w:val="000000"/>
                  <w:u w:val="none"/>
                </w:rPr>
                <w:t>Unit oferă</w:t>
              </w:r>
            </w:hyperlink>
            <w:r>
              <w:t xml:space="preserve"> granturi de până la 500 GBP persoanelor fizice pentru a se recalifica ca ingineri pompe de căldură, precum și orientări pentru instalațiile pentru prima dată. Acest grant include un registru național al furnizorilor de formare și consiliere cu privire la modul de certificare a instalațiilor cu pompă de căldură, evitând necesitatea unei inspecții a clădirilor. Acest tip de sprijin poate oferi, de asemenea, un impuls tehnicienilor care doresc să treacă de la combustibili fosili la instalații cu pompe de căldură.</w:t>
            </w:r>
          </w:p>
          <w:p w14:paraId="5ED19571" w14:textId="515930C4" w:rsidR="007D2814" w:rsidRDefault="00DD102F">
            <w:pPr>
              <w:pStyle w:val="IEABoxText"/>
            </w:pPr>
            <w:r>
              <w:lastRenderedPageBreak/>
              <w:t xml:space="preserve">În aprilie 2024, Franța </w:t>
            </w:r>
            <w:hyperlink r:id="rId139" w:history="1">
              <w:r>
                <w:rPr>
                  <w:rStyle w:val="Hyperlink"/>
                  <w:color w:val="000000"/>
                  <w:u w:val="none"/>
                </w:rPr>
                <w:t>a prezentat un plan de acțiune în opt puncte pentru pompele de</w:t>
              </w:r>
            </w:hyperlink>
            <w:r>
              <w:t xml:space="preserve"> căldură, care includea un obiectiv de formare a 30 000 de instalatori de pompe de căldură până în 2030. Guvernul a anunțat, de asemenea, planuri de creare a unui </w:t>
            </w:r>
            <w:hyperlink r:id="rId140" w:history="1">
              <w:r>
                <w:rPr>
                  <w:rStyle w:val="Hyperlink"/>
                  <w:color w:val="000000"/>
                  <w:u w:val="none"/>
                </w:rPr>
                <w:t>centru de expertiză pentru pompele de căldură .</w:t>
              </w:r>
            </w:hyperlink>
            <w:r>
              <w:t xml:space="preserve"> Franța </w:t>
            </w:r>
            <w:hyperlink r:id="rId141" w:history="1">
              <w:r>
                <w:rPr>
                  <w:rStyle w:val="Hyperlink"/>
                  <w:color w:val="000000"/>
                  <w:u w:val="none"/>
                </w:rPr>
                <w:t>oferă, de asemenea, formare instalatorilor de pompe de căldură</w:t>
              </w:r>
            </w:hyperlink>
            <w:r>
              <w:t xml:space="preserve"> prin intermediul unui program cunoscut sub numele de FEEBAT (Formations aux Économies d’Énergie dans le Bâtiment), care îi învață cum să instaleze o pompă de căldură, să diagnosticheze problemele tehnice și să consilieze clienții cu privire la sistemul cel mai potrivit pentru clădirea lor.</w:t>
            </w:r>
          </w:p>
        </w:tc>
      </w:tr>
    </w:tbl>
    <w:p w14:paraId="46AF4023" w14:textId="77777777" w:rsidR="007D2814" w:rsidRDefault="00DD102F">
      <w:pPr>
        <w:pStyle w:val="Heading3"/>
      </w:pPr>
      <w:bookmarkStart w:id="66" w:name="_Toc198194985"/>
      <w:r>
        <w:lastRenderedPageBreak/>
        <w:t>Recomandări de politică</w:t>
      </w:r>
      <w:bookmarkEnd w:id="66"/>
    </w:p>
    <w:p w14:paraId="6982B557" w14:textId="77777777" w:rsidR="00146137" w:rsidRDefault="00146137">
      <w:pPr>
        <w:pStyle w:val="IEABodyBulletTextlevel1"/>
      </w:pPr>
      <w:r w:rsidRPr="00146137">
        <w:t>Organizarea programelor de consolidare a capacităților în domeniul pompelor de căldură pentru funcționarii publici și pentru publicul larg</w:t>
      </w:r>
    </w:p>
    <w:p w14:paraId="4514EF1E" w14:textId="0BA5E8AD" w:rsidR="007D2814" w:rsidRDefault="00DD102F">
      <w:pPr>
        <w:pStyle w:val="IEABodyBulletTextlevel1"/>
      </w:pPr>
      <w:r>
        <w:t>Desfășurarea de campanii de sensibilizare a publicului pentru a informa cetățenii cu privire la beneficiile și avantajele economice ale pompelor de căldură</w:t>
      </w:r>
      <w:r w:rsidR="005A695C">
        <w:t>, inclusiv prin publicarea unor modele de calcul care vor include investițiile, cheltuielile de exploarare și întreținere, coeficientul de performanță al diferitor modele de pompe de c</w:t>
      </w:r>
      <w:r w:rsidR="00146137">
        <w:t>ă</w:t>
      </w:r>
      <w:r w:rsidR="005A695C">
        <w:t xml:space="preserve">ldură </w:t>
      </w:r>
    </w:p>
    <w:p w14:paraId="4F261D80" w14:textId="77777777" w:rsidR="007D2814" w:rsidRDefault="00DD102F">
      <w:pPr>
        <w:pStyle w:val="IEABodyBulletTextlevel1"/>
      </w:pPr>
      <w:r>
        <w:t>Crearea de platforme ale părților interesate pentru ca cetățenii și instalatorii de pompe de căldură să se implice și să facă schimb de experiență</w:t>
      </w:r>
    </w:p>
    <w:p w14:paraId="23D7D60B" w14:textId="77777777" w:rsidR="007D2814" w:rsidRDefault="00DD102F">
      <w:pPr>
        <w:pStyle w:val="IEABodyBulletTextlevel1"/>
      </w:pPr>
      <w:r>
        <w:t>Introducerea unor stimulente pentru producție, cum ar fi scutirile de la plata impozitului pe profit</w:t>
      </w:r>
    </w:p>
    <w:p w14:paraId="2A3F20FA" w14:textId="77777777" w:rsidR="007D2814" w:rsidRDefault="00DD102F">
      <w:pPr>
        <w:pStyle w:val="IEABodyBulletTextlevel1"/>
        <w:sectPr w:rsidR="007D2814" w:rsidSect="0066209A">
          <w:headerReference w:type="default" r:id="rId142"/>
          <w:endnotePr>
            <w:numFmt w:val="decimal"/>
            <w:numRestart w:val="eachSect"/>
          </w:endnotePr>
          <w:type w:val="continuous"/>
          <w:pgSz w:w="11906" w:h="16838" w:code="9"/>
          <w:pgMar w:top="1588" w:right="1588" w:bottom="1588" w:left="1588" w:header="709" w:footer="709" w:gutter="0"/>
          <w:cols w:space="708"/>
          <w:docGrid w:linePitch="360"/>
        </w:sectPr>
      </w:pPr>
      <w:r>
        <w:t>Instituirea de instalații și programe de formare a instalatorilor de pompe de căldură</w:t>
      </w:r>
    </w:p>
    <w:p w14:paraId="1A387249" w14:textId="77777777" w:rsidR="007D2814" w:rsidRDefault="00DD102F">
      <w:pPr>
        <w:pStyle w:val="Heading2"/>
      </w:pPr>
      <w:bookmarkStart w:id="67" w:name="_Toc198194986"/>
      <w:bookmarkStart w:id="68" w:name="_Toc201571408"/>
      <w:r>
        <w:lastRenderedPageBreak/>
        <w:t>Finanțarea tranziției</w:t>
      </w:r>
      <w:bookmarkEnd w:id="67"/>
      <w:bookmarkEnd w:id="68"/>
      <w:r>
        <w:t xml:space="preserve"> </w:t>
      </w:r>
    </w:p>
    <w:p w14:paraId="02851A97" w14:textId="77777777" w:rsidR="007D2814" w:rsidRDefault="00DD102F">
      <w:pPr>
        <w:pStyle w:val="IEABodyText"/>
      </w:pPr>
      <w:r>
        <w:t xml:space="preserve">Acest capitol analizează economia pompelor de căldură față de cazanele pe gaz și sobele pe biomasă. Acesta analizează rolul granturilor și al subvențiilor și modul în care acestea afectează costul pe durata de viață a deținerii unei pompe de căldură în comparație cu alte tehnologii de încălzire. Sunt apoi discutate diferite opțiuni de politică, inclusiv posibile căi de sprijin multilateral în materie de politici, atât la nivel național, cât și la nivel local. </w:t>
      </w:r>
    </w:p>
    <w:p w14:paraId="4759C296" w14:textId="77777777" w:rsidR="007D2814" w:rsidRDefault="00DD102F">
      <w:pPr>
        <w:pStyle w:val="IEABodyText"/>
      </w:pPr>
      <w:r>
        <w:t xml:space="preserve">După cum s-a menționat anterior, o barieră principală în calea adoptării pompelor de căldură este costul inițial ridicat în raport cu tehnologiile de încălzire predominante. Guvernele pot contribui la reducerea acestui obstacol prin mecanisme precum subvențiile sau granturile în avans și împrumuturile cu dobândă redusă. O altă modalitate de a compensa costurile inițiale ridicate este reducerea costurilor de funcționare, reducând astfel timpul de recuperare a investiției. Acest aspect va fi analizat, de asemenea, ca parte a analizei costului total al proprietății. </w:t>
      </w:r>
    </w:p>
    <w:p w14:paraId="598AC305" w14:textId="77777777" w:rsidR="007D2814" w:rsidRDefault="00DD102F">
      <w:pPr>
        <w:pStyle w:val="Heading3"/>
      </w:pPr>
      <w:bookmarkStart w:id="69" w:name="_Toc198194987"/>
      <w:r>
        <w:t>Opțiuni de politică pentru finanțarea pompelor de căldură</w:t>
      </w:r>
      <w:bookmarkEnd w:id="69"/>
    </w:p>
    <w:p w14:paraId="3B686F15" w14:textId="60E040BC" w:rsidR="007D2814" w:rsidRDefault="00DD102F">
      <w:pPr>
        <w:pStyle w:val="IEABodyText"/>
      </w:pPr>
      <w:r>
        <w:t xml:space="preserve">Guvernele pot reduce sarcina costurilor inițiale ale pompelor de căldură prin acordarea de subvenții, denumite uneori și „granturi”. Subvențiile inițiale pot lua diferite forme: o subvenție forfetară dispersează o sumă forfetară predefinită, în timp ce o subvenție bazată pe procente rambursează o parte definită din costul total al pompei de căldură și al instalării acesteia. </w:t>
      </w:r>
    </w:p>
    <w:p w14:paraId="307A516C" w14:textId="781C75D8" w:rsidR="007D2814" w:rsidRDefault="00DD102F">
      <w:pPr>
        <w:pStyle w:val="IEABodyText"/>
      </w:pPr>
      <w:r>
        <w:t xml:space="preserve">Schema </w:t>
      </w:r>
      <w:hyperlink r:id="rId143" w:history="1">
        <w:r>
          <w:rPr>
            <w:rStyle w:val="Hyperlink"/>
          </w:rPr>
          <w:t>de modernizare a cazanului</w:t>
        </w:r>
      </w:hyperlink>
      <w:r>
        <w:t xml:space="preserve"> din Regatul Unit este un exemplu în acest sens. Programul oferă 7 500 GBP oricărui proprietar care își înlocuiește sistemul de încălzire pe bază de combustibili fosili cu o pompă de căldură.</w:t>
      </w:r>
      <w:r>
        <w:rPr>
          <w:rStyle w:val="FootnoteReference"/>
        </w:rPr>
        <w:footnoteReference w:id="7"/>
      </w:r>
      <w:r>
        <w:t xml:space="preserve"> Germania a adoptat această din urmă abordare, cu o subvenție care acoperă </w:t>
      </w:r>
      <w:hyperlink r:id="rId144" w:history="1">
        <w:r>
          <w:rPr>
            <w:rStyle w:val="Hyperlink"/>
          </w:rPr>
          <w:t>până la 70 % din costurile de instalare a pompelor de căldură.</w:t>
        </w:r>
      </w:hyperlink>
      <w:r>
        <w:t xml:space="preserve"> </w:t>
      </w:r>
    </w:p>
    <w:p w14:paraId="5F925913" w14:textId="77777777" w:rsidR="007D2814" w:rsidRDefault="00DD102F">
      <w:pPr>
        <w:pStyle w:val="IEABodyText"/>
      </w:pPr>
      <w:r>
        <w:t>Subvențiile forfetare se pot baza, de asemenea, pe veniturile gospodăriilor. Acest lucru este valabil în Franța, unde un program de granturi, MaPrimeRénov, subvenționează gospodăriile cu venituri mici în mod semnificativ</w:t>
      </w:r>
      <w:r>
        <w:rPr>
          <w:b/>
        </w:rPr>
        <w:t xml:space="preserve"> </w:t>
      </w:r>
      <w:r>
        <w:t xml:space="preserve">mai mult decât persoanele cu cele mai mari venituri. Acest lucru are avantajul de a acorda prioritate finanțării celor care dispun de cele mai puține mijloace pentru a-și permite o pompă de căldură. Dezavantajul este că astfel de sisteme pot fi </w:t>
      </w:r>
      <w:r>
        <w:lastRenderedPageBreak/>
        <w:t>complexe și costisitoare de administrat, precum și dificil de înțeles și de accesat de către cetățeni.</w:t>
      </w:r>
    </w:p>
    <w:p w14:paraId="0C701AA0" w14:textId="77777777" w:rsidR="007D2814" w:rsidRDefault="00DD102F">
      <w:pPr>
        <w:pStyle w:val="IEABodyText"/>
      </w:pPr>
      <w:r>
        <w:t>De asemenea, subvențiile sunt adesea acordate sub formă de credite fiscale. Atunci când se alege această abordare, este important să se ia în considerare momentul în care subvenția este disponibilă. Creditele fiscale pot funcționa bine pentru corporații, întreprinderi mici sau cetățeni mai înstăriți, cu suficient capital pentru a face o investiție inițială într-o pompă de căldură în așteptarea unei scutiri fiscale. Dar pentru gospodăriile care nu își pot permite plata în avans, acest lucru reprezintă o provocare.</w:t>
      </w:r>
    </w:p>
    <w:p w14:paraId="43BA351B" w14:textId="77777777" w:rsidR="007D2814" w:rsidRDefault="00DD102F">
      <w:pPr>
        <w:pStyle w:val="IEABodyText"/>
        <w:rPr>
          <w:color w:val="FF0000"/>
        </w:rPr>
      </w:pPr>
      <w:r>
        <w:t>O soluție este acordarea de reduceri la punctul de vânzare, în cazul în care creditul fiscal este dedus imediat din prețul de vânzare. Legea privind reducerea inflației din Statele Unite oferă acest lucru. O altă măsură constă în acordarea de împrumuturi-punte cu dobândă zero – de la o bancă de dezvoltare sau de la o municipalitate locală, de exemplu – pentru a acoperi creditul fiscal anticipat.</w:t>
      </w:r>
      <w:r>
        <w:rPr>
          <w:color w:val="FF0000"/>
        </w:rPr>
        <w:t xml:space="preserve"> </w:t>
      </w:r>
    </w:p>
    <w:p w14:paraId="59942380" w14:textId="5165C5C8" w:rsidR="007D2814" w:rsidRDefault="00DD102F">
      <w:pPr>
        <w:pStyle w:val="IEABodyText"/>
      </w:pPr>
      <w:r>
        <w:t xml:space="preserve">Întreprinderile din domeniul energiei pot oferi, de asemenea, subvenții prin intermediul programelor de obligații în materie de eficiență energetică (EEO). În cadrul acestor scheme, societățile energetice au obligația legală de a furniza clienților lor o anumită cantitate de economii de energie. Acest lucru poate fi realizat prin intermediul pompelor de căldură, deoarece acestea ajută la economisirea energiei. În Franța, activitățile de încălzire curată </w:t>
      </w:r>
      <w:hyperlink r:id="rId145" w:history="1">
        <w:r>
          <w:rPr>
            <w:rStyle w:val="Hyperlink"/>
          </w:rPr>
          <w:t>beneficiază de un bonus</w:t>
        </w:r>
      </w:hyperlink>
      <w:r>
        <w:t xml:space="preserve"> în cadrul sistemului TEE. Acest lucru creează un stimulent pentru ca întreprinderile din domeniul energiei să continue această activitate, ceea ce duce la instalații de încălzire mai curate. În practică, societățile energetice franceze – care funcționează uneori prin intermediari terți, cum ar fi instalatorii – oferă o subvenție de 2 500 EUR care poate fi combinată cu sprijin guvernamental. </w:t>
      </w:r>
    </w:p>
    <w:p w14:paraId="2322C569" w14:textId="2F17A6F6" w:rsidR="007D2814" w:rsidRDefault="00DD102F">
      <w:pPr>
        <w:pStyle w:val="IEABodyText"/>
      </w:pPr>
      <w:r>
        <w:t xml:space="preserve">În aprilie 2024, </w:t>
      </w:r>
      <w:hyperlink r:id="rId146" w:history="1">
        <w:r>
          <w:rPr>
            <w:rStyle w:val="Hyperlink"/>
          </w:rPr>
          <w:t>Fondul pentru eficiență energetică a clădirilor rezidențiale</w:t>
        </w:r>
      </w:hyperlink>
      <w:r>
        <w:t xml:space="preserve"> (REEF) din Moldova a început să ofere subvenții bazate pe procente pentru măsurile de eficiență energetică a clădirilor rezidențiale. Acestea acoperă </w:t>
      </w:r>
      <w:hyperlink r:id="rId147" w:history="1">
        <w:r>
          <w:rPr>
            <w:rStyle w:val="Hyperlink"/>
          </w:rPr>
          <w:t>până la 70% din costul inițial</w:t>
        </w:r>
      </w:hyperlink>
      <w:r>
        <w:t xml:space="preserve"> al unei pompe de căldură în clădirile multifamiliale și până la 50% pentru locuințele unifamiliale. Același sprijin este acordat și cazanelor pe bază de biomasă. Nu există subvenții în avans disponibile pentru cazanele pe gaz, o decizie care este în conformitate cu </w:t>
      </w:r>
      <w:hyperlink r:id="rId148" w:history="1">
        <w:r>
          <w:rPr>
            <w:rStyle w:val="Hyperlink"/>
          </w:rPr>
          <w:t>Directiva Uniunii Europene privind performanța energetică a clădirilor</w:t>
        </w:r>
      </w:hyperlink>
      <w:r>
        <w:t>, care prevede eliminarea treptată a subvențiilor pentru dispozitivele de încălzire pe bază de combustibili fosili începând cu 1 ianuarie 2025.</w:t>
      </w:r>
    </w:p>
    <w:p w14:paraId="07FC13CE" w14:textId="23D871AC" w:rsidR="007D2814" w:rsidRDefault="00DD102F">
      <w:pPr>
        <w:pStyle w:val="IEABodyText"/>
      </w:pPr>
      <w:r>
        <w:t xml:space="preserve">Granturile acordate de REEF sprijină, de asemenea, instalarea de sisteme de încălzire a spațiilor de uz casnic și a apei cu distribuție orizontală. Acestea </w:t>
      </w:r>
      <w:hyperlink r:id="rId149" w:history="1">
        <w:r>
          <w:rPr>
            <w:rStyle w:val="Hyperlink"/>
          </w:rPr>
          <w:t>înlocuiesc, de regulă, sistemele de distribuție verticală existente</w:t>
        </w:r>
      </w:hyperlink>
      <w:r>
        <w:t xml:space="preserve"> legate de încălzirea centralizată, permițând gospodăriilor să dispună de contoare individuale și îmbunătățind eficiența energetică globală.</w:t>
      </w:r>
    </w:p>
    <w:p w14:paraId="6C908453" w14:textId="717EAEFF" w:rsidR="007D2814" w:rsidRDefault="00DD102F">
      <w:pPr>
        <w:pStyle w:val="IEABodyText"/>
      </w:pPr>
      <w:r>
        <w:lastRenderedPageBreak/>
        <w:t xml:space="preserve">De asemenea, guvernele pot oferi împrumuturi care reduc costul inițial al unei pompe de căldură sau cel puțin ajută clienții să amâne costul în timp ce stabilesc un plan de plată. Multe guverne finanteaza programe care ofera imprumuturi cu dobanda redusa pentru renovarea locuintelor, inclusiv instalatii de pompe de caldura. Aceste împrumuturi pot fi, de asemenea, </w:t>
      </w:r>
      <w:hyperlink r:id="rId150" w:history="1">
        <w:r>
          <w:rPr>
            <w:rStyle w:val="Hyperlink"/>
          </w:rPr>
          <w:t>grupate în ipoteci .</w:t>
        </w:r>
      </w:hyperlink>
    </w:p>
    <w:p w14:paraId="7F3150B8" w14:textId="4A2E0355" w:rsidR="007D2814" w:rsidRDefault="00DD102F">
      <w:pPr>
        <w:pStyle w:val="IEABodyText"/>
      </w:pPr>
      <w:r>
        <w:t xml:space="preserve">Instituțiile financiare din Moldova au putut accesa diverse linii de credit prin intermediul </w:t>
      </w:r>
      <w:hyperlink r:id="rId151" w:history="1">
        <w:r>
          <w:rPr>
            <w:rStyle w:val="Hyperlink"/>
          </w:rPr>
          <w:t>Facilității de Finanțare a Economiei Verzi</w:t>
        </w:r>
      </w:hyperlink>
      <w:r>
        <w:t xml:space="preserve"> (GEFF), sprijinită de Banca Europeană pentru Reconstrucție și Dezvoltare (BERD). Acestea au inclus 7 milioane USD alocate gospodăriilor, 42 de milioane USD pentru întreprinderile care sunt deja trase integral, precum și o linie de credit activă în valoare de 20 de milioane USD pentru gospodării și întreprinderi. În 2024, Uniunea Europeană a anunțat că </w:t>
      </w:r>
      <w:hyperlink r:id="rId152" w:history="1">
        <w:r>
          <w:rPr>
            <w:rStyle w:val="Hyperlink"/>
          </w:rPr>
          <w:t>va contribui cu</w:t>
        </w:r>
      </w:hyperlink>
      <w:r>
        <w:t xml:space="preserve"> 9,5 milioane EUR la GEFF. Aceasta va include împrumuturi acordate băncilor care sprijină măsurile de eficiență energetică, cum ar fi pompele de căldură, și care oferă cashback și alte stimulente pentru a reduce costul îmbunătățirii eficienței.</w:t>
      </w:r>
    </w:p>
    <w:p w14:paraId="21F2AAB1" w14:textId="77777777" w:rsidR="007D2814" w:rsidRDefault="00DD102F">
      <w:pPr>
        <w:pStyle w:val="IEABodyText"/>
      </w:pPr>
      <w:r>
        <w:t xml:space="preserve">Căldura ca serviciu este un model de afaceri emergent pentru decarbonizarea încălzirii, prin care societățile de servicii energetice furnizează un serviciu de încălzire în loc să vândă un combustibil. Ofertele variază în funcție de furnizor, variind de la închirierea aparatelor până la garanții de temperatură. De obicei, clienții nu sunt obligați să plătească mult în avans pentru pompa de căldură (care continuă să fie deținută de compania de energie) și, în schimb, să plătească o taxă de abonament. </w:t>
      </w:r>
    </w:p>
    <w:p w14:paraId="758B07E9" w14:textId="1DAF7673" w:rsidR="007D2814" w:rsidRDefault="00DD102F">
      <w:pPr>
        <w:pStyle w:val="IEABodyText"/>
      </w:pPr>
      <w:r>
        <w:t xml:space="preserve">În prezent, în Moldova nu există modele de afaceri de tip heat-as-a-service, dar părțile interesate din industrie au subliniat importanța companiilor de servicii energetice pentru întreținerea dispozitivelor pompelor de căldură utilizate în </w:t>
      </w:r>
      <w:r w:rsidR="005A695C">
        <w:t>sisteme de alimentare centralizată cu energie termică</w:t>
      </w:r>
      <w:r>
        <w:t>.</w:t>
      </w:r>
    </w:p>
    <w:p w14:paraId="71BB7E03" w14:textId="37CAC9C2" w:rsidR="007D2814" w:rsidRDefault="00DD102F">
      <w:pPr>
        <w:pStyle w:val="IEABodyText"/>
      </w:pPr>
      <w:r>
        <w:t xml:space="preserve">Reducerea TVA-ului la pompele de căldură este o altă modalitate de reducere a costurilor inițiale. În iulie 2024, Ministerul Energiei din Moldova a </w:t>
      </w:r>
      <w:hyperlink r:id="rId153" w:history="1">
        <w:r>
          <w:rPr>
            <w:rStyle w:val="Hyperlink"/>
          </w:rPr>
          <w:t>propus reducerea TVA pentru achizițiile de pompe de</w:t>
        </w:r>
      </w:hyperlink>
      <w:r>
        <w:t xml:space="preserve"> căldură la 8 % de la 16 %. Acest lucru este similar cu eforturile depuse în alte părți ale Europei. Începând din 2022, TVA-ul minim legal pentru achizițiile de pompe de căldură în Uniunea Europeană a fost de 5 %. Până în noiembrie 2024, doar cinci state membre ale UE </w:t>
      </w:r>
      <w:hyperlink r:id="rId154" w:history="1">
        <w:r>
          <w:rPr>
            <w:rStyle w:val="Hyperlink"/>
          </w:rPr>
          <w:t xml:space="preserve">își stabiliseră TVA-ul pentru pompele de căldură </w:t>
        </w:r>
      </w:hyperlink>
      <w:r>
        <w:t xml:space="preserve"> sub rata pentru cazanele pe gaz</w:t>
      </w:r>
      <w:r w:rsidR="00FB106B">
        <w:t>e naturale</w:t>
      </w:r>
      <w:r>
        <w:t>.</w:t>
      </w:r>
    </w:p>
    <w:p w14:paraId="25E75F69" w14:textId="77777777" w:rsidR="007D2814" w:rsidRDefault="00DD102F">
      <w:pPr>
        <w:pStyle w:val="Heading3"/>
      </w:pPr>
      <w:bookmarkStart w:id="70" w:name="_Toc198194988"/>
      <w:r>
        <w:t>Analiza costului total al proprietății</w:t>
      </w:r>
      <w:bookmarkEnd w:id="70"/>
      <w:r>
        <w:t xml:space="preserve"> </w:t>
      </w:r>
    </w:p>
    <w:p w14:paraId="384416D0" w14:textId="2EFA6253" w:rsidR="007D2814" w:rsidRDefault="00DD102F">
      <w:pPr>
        <w:pStyle w:val="IEABodyText"/>
      </w:pPr>
      <w:r>
        <w:t>La nivelurile actuale ale subvențiilor și prețurilor la energie, costul total mediu de proprietate (TCO) pentru o pompă de căldură aer-apă rezidențială în Moldova este similar cu cel al unui cazan pe gaz</w:t>
      </w:r>
      <w:r w:rsidR="00FB106B">
        <w:t>e</w:t>
      </w:r>
      <w:r>
        <w:t xml:space="preserve"> natural</w:t>
      </w:r>
      <w:r w:rsidR="00FB106B">
        <w:t>e</w:t>
      </w:r>
      <w:r>
        <w:t>. Aceste costuri pot fi defalcate în „costuri inițiale” și „costuri de funcționare”.</w:t>
      </w:r>
    </w:p>
    <w:p w14:paraId="272BF0F9" w14:textId="233CFFEF" w:rsidR="007D2814" w:rsidRDefault="00DD102F">
      <w:pPr>
        <w:pStyle w:val="IEABodyText"/>
      </w:pPr>
      <w:r>
        <w:lastRenderedPageBreak/>
        <w:t>Costul mediu inițial al unei pompe de căldură este de aproximativ 100 000 MDL (5 120 EUR), în timp ce un cazan echivalent pe gaz costă aproximativ 30 000 MDL (1 530) și un cazan pe biomasă 57 500 MDL (2 950 EUR).</w:t>
      </w:r>
      <w:r>
        <w:rPr>
          <w:rStyle w:val="FootnoteReference"/>
        </w:rPr>
        <w:footnoteReference w:id="8"/>
      </w:r>
      <w:r>
        <w:t xml:space="preserve"> Prin aplicarea subvenției de 50 % din REEF pentru o locuință unifamilială, costul unei pompe de căldură aer-apă scade la 2 560 EUR, iar costul cazanului pe bază de biomasă la 1 475 EUR. Cu alte cuvinte, costul inițial al pompei de căldură este cu aproximativ 67% mai mare decât cel al cazanului pe gaz</w:t>
      </w:r>
      <w:r w:rsidR="00FB106B">
        <w:t>e naturale</w:t>
      </w:r>
      <w:r>
        <w:t xml:space="preserve"> după aplicarea subvenției.</w:t>
      </w:r>
    </w:p>
    <w:p w14:paraId="5BC837E7" w14:textId="72C884B6" w:rsidR="007D2814" w:rsidRDefault="00DD102F">
      <w:pPr>
        <w:pStyle w:val="IEABodyText"/>
      </w:pPr>
      <w:r>
        <w:t xml:space="preserve">În raport cu costul inițial, costul de funcționare a pompei de căldură este semnificativ. Cu </w:t>
      </w:r>
      <w:hyperlink r:id="rId155" w:history="1">
        <w:r>
          <w:rPr>
            <w:rStyle w:val="Hyperlink"/>
          </w:rPr>
          <w:t>prețuri curente ale energiei electrice</w:t>
        </w:r>
      </w:hyperlink>
      <w:r>
        <w:t xml:space="preserve"> de 4.920 lei/MWh (252 euro/MWh) și </w:t>
      </w:r>
      <w:hyperlink r:id="rId156" w:history="1">
        <w:r>
          <w:rPr>
            <w:rStyle w:val="Hyperlink"/>
          </w:rPr>
          <w:t>prețuri curente ale gazelor naturale</w:t>
        </w:r>
      </w:hyperlink>
      <w:r>
        <w:t xml:space="preserve"> de 16.74/m</w:t>
      </w:r>
      <w:r>
        <w:rPr>
          <w:vertAlign w:val="superscript"/>
        </w:rPr>
        <w:t>3</w:t>
      </w:r>
      <w:r>
        <w:t xml:space="preserve"> lei (0.86/m</w:t>
      </w:r>
      <w:r>
        <w:rPr>
          <w:vertAlign w:val="superscript"/>
        </w:rPr>
        <w:t>3</w:t>
      </w:r>
      <w:r>
        <w:t>euro), costul anual de funcționare a pompei de căldură pe o perioadă de 18 ani este de aproximativ șase ori mai mare decât costul său inițial anualizat. Anual, acest lucru conduce la un TCO pentru o pompă de căldură care este aproximativ la fel ca un cazan pe gaz</w:t>
      </w:r>
      <w:r w:rsidR="00AE6CF5">
        <w:t>e natuarle</w:t>
      </w:r>
      <w:r>
        <w:t>, dar cu 230 EUR mai scump decât un cazan pe bază de biomasă.</w:t>
      </w:r>
    </w:p>
    <w:p w14:paraId="2B1582A5" w14:textId="77777777" w:rsidR="007D2814" w:rsidRDefault="00DD102F">
      <w:pPr>
        <w:pStyle w:val="IEABodyText"/>
      </w:pPr>
      <w:r>
        <w:t xml:space="preserve">Îmbunătățirea performanței energetice a clădirilor din Moldova poate avea un impact important asupra TCO. Prin aplicarea unor măsuri de izolare care reduc cererea de încălzire a spațiilor cu 25 %, TCO anual scade la 800 EUR, puțin peste TCO al unui cazan pe bază de biomasă (la nivelurile medii ale cererii de încălzire). </w:t>
      </w:r>
    </w:p>
    <w:p w14:paraId="7341B2BA" w14:textId="1748108A" w:rsidR="007D2814" w:rsidRDefault="00DD102F">
      <w:pPr>
        <w:pStyle w:val="IEAFigureTitle"/>
      </w:pPr>
      <w:bookmarkStart w:id="71" w:name="_Toc198195015"/>
      <w:r>
        <w:t>Costul anual al deținerii unei pompe de căldură, a unui cazan pe gaz și biomasă, cu și fără măsuri de izolare</w:t>
      </w:r>
      <w:bookmarkEnd w:id="71"/>
    </w:p>
    <w:p w14:paraId="2EFC464E" w14:textId="5A6C30BB" w:rsidR="007D2814" w:rsidRDefault="00DD102F">
      <w:r>
        <w:rPr>
          <w:noProof/>
          <w:lang w:val="en-US"/>
        </w:rPr>
        <w:drawing>
          <wp:inline distT="0" distB="0" distL="0" distR="0" wp14:anchorId="0EBD9932" wp14:editId="79599B21">
            <wp:extent cx="5543550" cy="2273935"/>
            <wp:effectExtent l="0" t="0" r="8890" b="3810"/>
            <wp:docPr id="131142241" name="Imaginea 13114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2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543550" cy="2273935"/>
                    </a:xfrm>
                    <a:prstGeom prst="rect">
                      <a:avLst/>
                    </a:prstGeom>
                    <a:noFill/>
                    <a:ln>
                      <a:noFill/>
                    </a:ln>
                  </pic:spPr>
                </pic:pic>
              </a:graphicData>
            </a:graphic>
          </wp:inline>
        </w:drawing>
      </w:r>
    </w:p>
    <w:p w14:paraId="5478472D" w14:textId="77777777" w:rsidR="007D2814" w:rsidRDefault="00DD102F">
      <w:pPr>
        <w:pStyle w:val="IEAFigureCopyright"/>
        <w:rPr>
          <w:b/>
          <w:bCs/>
        </w:rPr>
      </w:pPr>
      <w:r>
        <w:t>AIE CC BY 4.0</w:t>
      </w:r>
    </w:p>
    <w:p w14:paraId="254F7CAA" w14:textId="553BD907" w:rsidR="007D2814" w:rsidRDefault="00DD102F">
      <w:pPr>
        <w:pStyle w:val="IEASources"/>
      </w:pPr>
      <w:r>
        <w:t xml:space="preserve">* Costurile sunt nete de subvenție. </w:t>
      </w:r>
    </w:p>
    <w:p w14:paraId="773ECC01" w14:textId="28569606" w:rsidR="007D2814" w:rsidRDefault="00DD102F">
      <w:pPr>
        <w:pStyle w:val="IEASources"/>
      </w:pPr>
      <w:r>
        <w:t xml:space="preserve">Sursă: AIE pe baza datelor Eurostat (2025), </w:t>
      </w:r>
      <w:hyperlink r:id="rId158" w:history="1">
        <w:r>
          <w:rPr>
            <w:rStyle w:val="Hyperlink"/>
          </w:rPr>
          <w:t>Prețurile energiei electrice pentru consumatorii casnici – date bianuale</w:t>
        </w:r>
      </w:hyperlink>
      <w:r>
        <w:t xml:space="preserve"> (set de date, accesat la 1 iunie 2025); </w:t>
      </w:r>
      <w:hyperlink r:id="rId159" w:history="1">
        <w:r>
          <w:rPr>
            <w:rStyle w:val="Hyperlink"/>
          </w:rPr>
          <w:t>Prețurile gazelor pentru consumatorii casnici – date semestriale</w:t>
        </w:r>
      </w:hyperlink>
      <w:r>
        <w:t xml:space="preserve"> (set de date, accesat la 1 iunie 2025);</w:t>
      </w:r>
    </w:p>
    <w:p w14:paraId="18D2B8AD" w14:textId="1930CBDC" w:rsidR="007D2814" w:rsidRDefault="00DD102F">
      <w:pPr>
        <w:pStyle w:val="IEASources"/>
      </w:pPr>
      <w:r>
        <w:t xml:space="preserve">Surse naționale. </w:t>
      </w:r>
    </w:p>
    <w:p w14:paraId="340EBC36" w14:textId="77777777" w:rsidR="007D2814" w:rsidRDefault="007D2814">
      <w:pPr>
        <w:pStyle w:val="IEAFigureClosing"/>
      </w:pPr>
    </w:p>
    <w:p w14:paraId="756E4E23" w14:textId="1DFA44A1" w:rsidR="007D2814" w:rsidRDefault="00DD102F">
      <w:pPr>
        <w:pStyle w:val="IEABodyText"/>
      </w:pPr>
      <w:r>
        <w:lastRenderedPageBreak/>
        <w:t>Prețurile utilizate în această simulare sunt cele de la sfârșitul lunii decembrie și începutul anului 2025, pe care ANRE le-a majorat recent. Aplicarea unei analize de sensibilitate atât la pompa de căldură, cât și la cazanul pe gaz</w:t>
      </w:r>
      <w:r w:rsidR="00AE6CF5">
        <w:t>e natuarle</w:t>
      </w:r>
      <w:r>
        <w:t xml:space="preserve"> poate dezvălui impactul creșterii și scăderii prețurilor.</w:t>
      </w:r>
    </w:p>
    <w:p w14:paraId="23B88064" w14:textId="5FFFA38A" w:rsidR="007D2814" w:rsidRDefault="00DD102F">
      <w:pPr>
        <w:pStyle w:val="IEABodyText"/>
      </w:pPr>
      <w:r>
        <w:t>Într-o situație în care prețurile energiei electrice și ale gaz</w:t>
      </w:r>
      <w:r w:rsidR="00AE6CF5">
        <w:t>elor naturale</w:t>
      </w:r>
      <w:r>
        <w:t xml:space="preserve"> (înainte de TVA) cresc cu 25 %, acest lucru ar duce la o creștere anuală a OTC de aproximativ 220 EUR pentru pompele de căldură și de 230 EUR pentru cazanele pe gaz, ambele fiind semnificativ mai scumpe decât un cazan pe bază de biomasă. Cu toate acestea, prețurile la energie electrică și gaze nu evoluează într-un ritm alert; într-un viitor în care prețurile gazelor </w:t>
      </w:r>
      <w:r w:rsidR="00AE6CF5">
        <w:t xml:space="preserve">naturale </w:t>
      </w:r>
      <w:r>
        <w:t xml:space="preserve">cresc vertiginos, este probabil ca prețurile energiei electrice să crească mai moderat, așa cum s-a întâmplat în multe țări europene în timpul crizei energetice din 2021-2023. De asemenea, în cazul în care prețurile la energie </w:t>
      </w:r>
      <w:r w:rsidR="00AE6CF5">
        <w:t xml:space="preserve">electrică </w:t>
      </w:r>
      <w:r>
        <w:t>ar scădea cu 25 %, TCO al pompei de căldură și al cazanului pe gaz ar scădea la aproximativ cel al unui cazan pe bază de biomasă.</w:t>
      </w:r>
    </w:p>
    <w:p w14:paraId="5A2BD64A" w14:textId="1095E0DA" w:rsidR="007D2814" w:rsidRPr="00715FB7" w:rsidRDefault="00DD102F">
      <w:pPr>
        <w:pStyle w:val="P68B1DB1-IEABodyText8"/>
        <w:rPr>
          <w:highlight w:val="none"/>
        </w:rPr>
      </w:pPr>
      <w:r w:rsidRPr="00715FB7">
        <w:rPr>
          <w:highlight w:val="none"/>
        </w:rPr>
        <w:t>Un factor important este impactul TVA asupra energiei electrice (în prezent 20%</w:t>
      </w:r>
      <w:r w:rsidR="00AE6CF5">
        <w:rPr>
          <w:highlight w:val="none"/>
        </w:rPr>
        <w:t xml:space="preserve"> pentru consumatorii noncasnici</w:t>
      </w:r>
      <w:r w:rsidR="004B3BAE">
        <w:rPr>
          <w:highlight w:val="none"/>
        </w:rPr>
        <w:t xml:space="preserve"> și 0% la casnici</w:t>
      </w:r>
      <w:r w:rsidRPr="00715FB7">
        <w:rPr>
          <w:highlight w:val="none"/>
        </w:rPr>
        <w:t>) și a gaz</w:t>
      </w:r>
      <w:r w:rsidR="00AE6CF5">
        <w:rPr>
          <w:highlight w:val="none"/>
        </w:rPr>
        <w:t>elor naturale</w:t>
      </w:r>
      <w:r w:rsidRPr="00715FB7">
        <w:rPr>
          <w:highlight w:val="none"/>
        </w:rPr>
        <w:t xml:space="preserve"> (8%). În cazul în care TVA-ul ar fi eliminat, costurile de funcționare ale pompelor de căldură ar </w:t>
      </w:r>
      <w:r w:rsidR="004B3BAE">
        <w:rPr>
          <w:highlight w:val="none"/>
        </w:rPr>
        <w:t>scădea</w:t>
      </w:r>
      <w:r w:rsidR="004B3BAE" w:rsidRPr="00715FB7">
        <w:rPr>
          <w:highlight w:val="none"/>
        </w:rPr>
        <w:t xml:space="preserve"> </w:t>
      </w:r>
      <w:r w:rsidRPr="00715FB7">
        <w:rPr>
          <w:highlight w:val="none"/>
        </w:rPr>
        <w:t>cu 182 de euro, în timp ce cele ale cazanului pe gaz</w:t>
      </w:r>
      <w:r w:rsidR="00AE6CF5">
        <w:rPr>
          <w:highlight w:val="none"/>
        </w:rPr>
        <w:t>e naturale</w:t>
      </w:r>
      <w:r w:rsidRPr="00715FB7">
        <w:rPr>
          <w:highlight w:val="none"/>
        </w:rPr>
        <w:t xml:space="preserve"> ar crește cu 215 euro. În cazul în care cotele de TVA ar fi schimbate, costurile de funcționare a pompelor de căldură ar crește cu 196 EUR, iar cele ale cazanelor pe gaz</w:t>
      </w:r>
      <w:r w:rsidR="00AE6CF5">
        <w:rPr>
          <w:highlight w:val="none"/>
        </w:rPr>
        <w:t>e naturale</w:t>
      </w:r>
      <w:r w:rsidRPr="00715FB7">
        <w:rPr>
          <w:highlight w:val="none"/>
        </w:rPr>
        <w:t xml:space="preserve"> cu 258 EUR. Impactul impozitării prețurilor la energie este semnificativ și, așa cum s-a recomandat în capitolul anterior, Moldova ar trebui să ia în considerare modul de reechilibrare a acestor impozite pentru a îmbunătăți accesibilitatea pompelor de căldură și pentru a proteja această tehnologie eficientă de încălzire de creșterea prețurilor la energie.</w:t>
      </w:r>
    </w:p>
    <w:p w14:paraId="7822308D" w14:textId="77777777" w:rsidR="007D2814" w:rsidRDefault="00DD102F">
      <w:pPr>
        <w:pStyle w:val="IEAFigureTitle"/>
      </w:pPr>
      <w:bookmarkStart w:id="72" w:name="_Toc198195016"/>
      <w:r>
        <w:t>Costul anual al deținerii unei pompe de căldură, a unui cazan pe gaz și biomasă, scenarii de prețuri curente, scăzute și ridicate</w:t>
      </w:r>
      <w:bookmarkEnd w:id="72"/>
    </w:p>
    <w:p w14:paraId="0DB95C92" w14:textId="35A32AB5" w:rsidR="007D2814" w:rsidRDefault="00DD102F">
      <w:pPr>
        <w:pStyle w:val="IEAFigurePlace"/>
      </w:pPr>
      <w:r>
        <w:rPr>
          <w:noProof/>
          <w:lang w:val="en-US"/>
        </w:rPr>
        <w:drawing>
          <wp:inline distT="0" distB="0" distL="0" distR="0" wp14:anchorId="0328A969" wp14:editId="43A5C961">
            <wp:extent cx="5543550" cy="2268220"/>
            <wp:effectExtent l="0" t="0" r="0" b="0"/>
            <wp:docPr id="131142240" name="Imaginea 13114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2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543550" cy="2268220"/>
                    </a:xfrm>
                    <a:prstGeom prst="rect">
                      <a:avLst/>
                    </a:prstGeom>
                    <a:noFill/>
                    <a:ln>
                      <a:noFill/>
                    </a:ln>
                  </pic:spPr>
                </pic:pic>
              </a:graphicData>
            </a:graphic>
          </wp:inline>
        </w:drawing>
      </w:r>
    </w:p>
    <w:p w14:paraId="65694E85" w14:textId="77777777" w:rsidR="007D2814" w:rsidRDefault="00DD102F">
      <w:pPr>
        <w:pStyle w:val="IEAFigureCopyright"/>
        <w:rPr>
          <w:b/>
          <w:bCs/>
        </w:rPr>
      </w:pPr>
      <w:r>
        <w:t>AIE CC BY 4.0</w:t>
      </w:r>
    </w:p>
    <w:p w14:paraId="7DE55B79" w14:textId="7DA1435C" w:rsidR="007D2814" w:rsidRDefault="00DD102F">
      <w:pPr>
        <w:pStyle w:val="IEASources"/>
      </w:pPr>
      <w:r>
        <w:lastRenderedPageBreak/>
        <w:t>Notă: Costurile sunt nete de subvenții.</w:t>
      </w:r>
    </w:p>
    <w:p w14:paraId="4C89005A" w14:textId="51CE463B" w:rsidR="007D2814" w:rsidRDefault="00DD102F">
      <w:pPr>
        <w:pStyle w:val="IEASources"/>
      </w:pPr>
      <w:r>
        <w:t xml:space="preserve">Sursă: AIE pe baza datelor Eurostat (2025), </w:t>
      </w:r>
      <w:hyperlink r:id="rId161" w:history="1">
        <w:r>
          <w:rPr>
            <w:rStyle w:val="Hyperlink"/>
          </w:rPr>
          <w:t>Prețurile energiei electrice pentru consumatorii casnici – date bianuale</w:t>
        </w:r>
      </w:hyperlink>
      <w:r>
        <w:t xml:space="preserve"> (set de date, accesat la 1 iunie 2025); </w:t>
      </w:r>
      <w:hyperlink r:id="rId162" w:history="1">
        <w:r>
          <w:rPr>
            <w:rStyle w:val="Hyperlink"/>
          </w:rPr>
          <w:t>Prețurile gazelor pentru consumatorii casnici – date semestriale</w:t>
        </w:r>
      </w:hyperlink>
      <w:r>
        <w:t xml:space="preserve"> (set de date, accesat la 1 iunie 2025);</w:t>
      </w:r>
    </w:p>
    <w:p w14:paraId="3EDF69B7" w14:textId="77777777" w:rsidR="007D2814" w:rsidRDefault="00DD102F">
      <w:pPr>
        <w:pStyle w:val="IEASources"/>
      </w:pPr>
      <w:r>
        <w:t xml:space="preserve">Surse naționale. </w:t>
      </w:r>
    </w:p>
    <w:p w14:paraId="1FD27C0D" w14:textId="77777777" w:rsidR="007D2814" w:rsidRDefault="007D2814">
      <w:pPr>
        <w:pStyle w:val="IEAFigureClosing"/>
      </w:pPr>
    </w:p>
    <w:p w14:paraId="50201BC8" w14:textId="77777777" w:rsidR="007D2814" w:rsidRDefault="00DD102F">
      <w:pPr>
        <w:pStyle w:val="Heading3"/>
      </w:pPr>
      <w:r>
        <w:t>Prezentare generală a proiectelor de investiții în energie finanțate de instituțiile financiare internaționale</w:t>
      </w:r>
    </w:p>
    <w:p w14:paraId="7AD694E7" w14:textId="045BD0F5" w:rsidR="007D2814" w:rsidRDefault="00DD102F">
      <w:pPr>
        <w:pStyle w:val="IEABodyText"/>
      </w:pPr>
      <w:r>
        <w:t>Instituțiile Financiare Internaționale (IFI) au jucat un rol important în finanțarea proiectelor legate de energie în Moldova. S-a primit un sprijin semnificativ din partea Băncii Mondiale, a Băncii Europene de Investiții, a Uniunii Europene, a Băncii Europene pentru Reconstrucție și Dezvoltare, a Programului Națiunilor Unite pentru Dezvoltare și a Agenției Statelor Unite pentru Dezvoltare Internațională.</w:t>
      </w:r>
    </w:p>
    <w:p w14:paraId="151B6C8A" w14:textId="6C4039CF" w:rsidR="007D2814" w:rsidRDefault="00DD102F">
      <w:pPr>
        <w:pStyle w:val="IEABodyText"/>
      </w:pPr>
      <w:r>
        <w:t xml:space="preserve">Acest sprijin include </w:t>
      </w:r>
      <w:hyperlink r:id="rId163" w:history="1">
        <w:r>
          <w:rPr>
            <w:rStyle w:val="Hyperlink"/>
          </w:rPr>
          <w:t>împrumuturi în valoare de aproximativ 350 de milioane EUR</w:t>
        </w:r>
      </w:hyperlink>
      <w:r>
        <w:t xml:space="preserve"> pentru proiecte în curs de modernizare a infrastructurii energetice a Moldovei prin îmbunătățirea interconectării energiei electrice cu România; modernizarea sistemului de încălzire centrală în Chișinău și Bălți; și consolidarea securității energetice prin integrarea pieței europene, energia din surse regenerabile și digitalizare. O imagine de ansamblu completă a acestor proiecte </w:t>
      </w:r>
      <w:hyperlink r:id="rId164" w:history="1">
        <w:r>
          <w:rPr>
            <w:rStyle w:val="Hyperlink"/>
          </w:rPr>
          <w:t>poate fi găsită în PNEC al Moldovei.</w:t>
        </w:r>
      </w:hyperlink>
    </w:p>
    <w:p w14:paraId="581F9F1B" w14:textId="77777777" w:rsidR="007D2814" w:rsidRDefault="00DD102F">
      <w:pPr>
        <w:pStyle w:val="Heading3"/>
      </w:pPr>
      <w:bookmarkStart w:id="73" w:name="_Toc198194989"/>
      <w:r>
        <w:t>Recomandări de politică</w:t>
      </w:r>
      <w:bookmarkEnd w:id="73"/>
    </w:p>
    <w:p w14:paraId="5027B8C2" w14:textId="77777777" w:rsidR="007D2814" w:rsidRDefault="00DD102F">
      <w:pPr>
        <w:pStyle w:val="IEABodyBulletTextlevel1"/>
      </w:pPr>
      <w:r>
        <w:t>Evaluarea unui sistem de subvenții forfetare pentru a reduce complexitatea administrativă și a îmbunătăți capacitatea de reacție a cetățenilor.</w:t>
      </w:r>
    </w:p>
    <w:p w14:paraId="1EE7BE2C" w14:textId="77777777" w:rsidR="007D2814" w:rsidRDefault="00DD102F">
      <w:pPr>
        <w:pStyle w:val="IEABodyBulletTextlevel1"/>
      </w:pPr>
      <w:r>
        <w:t>Reducerea TVA-ului pentru pompele de căldură în conformitate cu minimul legal de 5 % al Uniunii Europene.</w:t>
      </w:r>
    </w:p>
    <w:p w14:paraId="33DBEDDA" w14:textId="33A48BA6" w:rsidR="007D2814" w:rsidRDefault="007D2814">
      <w:pPr>
        <w:sectPr w:rsidR="007D2814" w:rsidSect="00353315">
          <w:headerReference w:type="default" r:id="rId165"/>
          <w:endnotePr>
            <w:numFmt w:val="decimal"/>
            <w:numRestart w:val="eachSect"/>
          </w:endnotePr>
          <w:pgSz w:w="11906" w:h="16838" w:code="9"/>
          <w:pgMar w:top="1588" w:right="1588" w:bottom="1588" w:left="1588" w:header="709" w:footer="709" w:gutter="0"/>
          <w:cols w:space="708"/>
          <w:docGrid w:linePitch="360"/>
        </w:sectPr>
      </w:pPr>
      <w:bookmarkStart w:id="74" w:name="_Toc198194990"/>
    </w:p>
    <w:p w14:paraId="50D1ED79" w14:textId="43CD9C87" w:rsidR="007D2814" w:rsidRDefault="00DD102F">
      <w:pPr>
        <w:pStyle w:val="Heading2"/>
      </w:pPr>
      <w:bookmarkStart w:id="75" w:name="_Toc201571409"/>
      <w:r>
        <w:t>Reglementarea sectorului</w:t>
      </w:r>
      <w:bookmarkEnd w:id="74"/>
      <w:bookmarkEnd w:id="75"/>
    </w:p>
    <w:p w14:paraId="55FE5F4D" w14:textId="1532DD06" w:rsidR="007D2814" w:rsidRDefault="00DD102F">
      <w:pPr>
        <w:pStyle w:val="IEABodyText"/>
      </w:pPr>
      <w:r>
        <w:t xml:space="preserve">Reglementarea joacă un rol esențial în accelerarea adoptării pompelor de căldură. Acest capitol discută gama de instrumente de reglementare aflate la dispoziția Republicii Moldova, inclusiv codurile de construcție, standardele privind aparatele, restricțiile privind încălzirea pe bază de combustibili fosili, etichetarea energetică și planificarea termică sau măsurile de zonare. </w:t>
      </w:r>
      <w:bookmarkStart w:id="76" w:name="_Toc198194991"/>
    </w:p>
    <w:p w14:paraId="1A9AF4D3" w14:textId="77777777" w:rsidR="007D2814" w:rsidRDefault="00DD102F">
      <w:pPr>
        <w:pStyle w:val="Heading3"/>
      </w:pPr>
      <w:r>
        <w:lastRenderedPageBreak/>
        <w:t>Coduri și standarde pentru construcții</w:t>
      </w:r>
      <w:bookmarkEnd w:id="76"/>
    </w:p>
    <w:p w14:paraId="45AF130D" w14:textId="77777777" w:rsidR="007D2814" w:rsidRDefault="00DD102F">
      <w:pPr>
        <w:pStyle w:val="IEABodyText"/>
      </w:pPr>
      <w:r>
        <w:t>Clădirile rămân o sursă majoră de emisii și de consum de energie în întreaga lume. În Moldova, gospodăriile sunt de departe cei mai mari utilizatori de energie din țară. Îmbunătățirile aduse performanței clădirilor prin coduri energetice sunt esențiale pentru reducerea cererii de energie pe metru pătrat, precum și pentru îmbunătățirea calității vieții, reducerea poluării aerului și creșterea accesibilității energiei.</w:t>
      </w:r>
    </w:p>
    <w:p w14:paraId="687AAFBD" w14:textId="77777777" w:rsidR="007D2814" w:rsidRDefault="00DD102F">
      <w:pPr>
        <w:pStyle w:val="IEABodyText"/>
      </w:pPr>
      <w:r>
        <w:t>Codurile energetice impun cerințe de performanță atât pentru clădirile noi, cât și pentru cele existente. În clădirile noi, acestea pot fi utilizate pentru a se asigura că se utilizează practici eficiente de construcție și că energia din surse regenerabile este luată în considerare de la început. De obicei, aceste standarde sunt mai ușor de pus în aplicare, deoarece vizează industria, mai degrabă decât sectorul rezidențial. În clădirile existente, codurile energetice pot specifica standarde minime de performanță, pot încuraja renovarea și pot impune înlocuirea aparatelor poluante.</w:t>
      </w:r>
    </w:p>
    <w:p w14:paraId="45B4D394" w14:textId="4A8E33D3" w:rsidR="007D2814" w:rsidRDefault="00DD102F">
      <w:pPr>
        <w:pStyle w:val="IEABodyText"/>
      </w:pPr>
      <w:r>
        <w:t xml:space="preserve">În Moldova, mai mult de 75% din parcul imobiliar a fost construit înainte de 1990, iar rata construcțiilor noi este lentă. După cum s-a discutat anterior, există, de asemenea, un decalaj semnificativ între eforturile de renovare rurală și urbană. Codurile energetice pentru clădiri sunt esențiale pentru stimularea modernizării clădirilor mai vechi cu sisteme de încălzire mai curate și pentru asigurarea progresului atât în comunitățile rurale, cât și în cele urbane. </w:t>
      </w:r>
    </w:p>
    <w:p w14:paraId="4525C083" w14:textId="719EFBA5" w:rsidR="007D2814" w:rsidRDefault="00DD102F">
      <w:pPr>
        <w:pStyle w:val="IEABodyText"/>
      </w:pPr>
      <w:r>
        <w:t xml:space="preserve">Moldova a transpus Directiva Uniunii Europene privind performanța energetică a clădirilor (EPBD) în legea sa nr. 282/2023. Acesta a fost un pas esențial în direcția asigurării îmbunătățirii performanței clădirilor în viitor. Cu toate acestea, EPBD a fost </w:t>
      </w:r>
      <w:hyperlink r:id="rId166" w:history="1">
        <w:r>
          <w:rPr>
            <w:rStyle w:val="Hyperlink"/>
          </w:rPr>
          <w:t>revizuită în 2024</w:t>
        </w:r>
      </w:hyperlink>
      <w:r>
        <w:t xml:space="preserve"> și conține în prezent actualizări importante care nu sunt încă reflectate în legislația Republicii Moldova. Modificările relevante pentru pompele de căldură includ un standard actualizat pentru clădirile cu emisii zero; îmbunătățirea certificatelor de performanță energetică; standarde minime de performanță energetică (MEPS) pentru clădirile nerezidențiale; și un obiectiv cantitativ pentru o rată națională de renovare.</w:t>
      </w:r>
    </w:p>
    <w:p w14:paraId="32B4EF71" w14:textId="25C35DB0" w:rsidR="007D2814" w:rsidRDefault="00DD102F">
      <w:pPr>
        <w:pStyle w:val="IEABodyText"/>
      </w:pPr>
      <w:r>
        <w:t>Implementarea pompelor de căldură va fi modelată de aceste măsuri – în special de MEPS și de obiectivul național privind rata de renovare –, precum și de cadrul de politică mai larg și de măsura în care Moldova acordă prioritate pompelor de căldură în modernizarea clădirilor.</w:t>
      </w:r>
    </w:p>
    <w:p w14:paraId="62529D16" w14:textId="77777777" w:rsidR="007D2814" w:rsidRDefault="00DD102F">
      <w:pPr>
        <w:pStyle w:val="Heading3"/>
      </w:pPr>
      <w:bookmarkStart w:id="77" w:name="_Toc198194992"/>
      <w:r>
        <w:t>Standarde și restricții privind aparatele</w:t>
      </w:r>
      <w:bookmarkEnd w:id="77"/>
    </w:p>
    <w:p w14:paraId="1661496F" w14:textId="77777777" w:rsidR="007D2814" w:rsidRDefault="00DD102F">
      <w:pPr>
        <w:pStyle w:val="IEABodyText"/>
      </w:pPr>
      <w:r>
        <w:t xml:space="preserve">Standardele pentru aparatele de încălzire a incintelor definesc tipurile de echipamente care pot fi vândute, stabilind criterii minime de performanță și de mediu. Aceste standarde sunt în vigoare în multe țări europene încă din anii 1990. </w:t>
      </w:r>
      <w:r>
        <w:lastRenderedPageBreak/>
        <w:t>Prin limitarea sistemelor ineficiente, acestea joacă un rol esențial în promovarea tranziției energetice a Europei.</w:t>
      </w:r>
    </w:p>
    <w:p w14:paraId="2D4AE524" w14:textId="2BBB0362" w:rsidR="007D2814" w:rsidRDefault="00DD102F">
      <w:pPr>
        <w:pStyle w:val="IEABodyText"/>
      </w:pPr>
      <w:r>
        <w:t xml:space="preserve">Mai multe țări au mers mai departe prin introducerea unor cerințe stricte pentru sistemele de încălzire. Începând din 2022, clădirile noi din </w:t>
      </w:r>
      <w:hyperlink r:id="rId167" w:history="1">
        <w:r>
          <w:rPr>
            <w:rStyle w:val="Hyperlink"/>
          </w:rPr>
          <w:t>Franța</w:t>
        </w:r>
      </w:hyperlink>
      <w:r>
        <w:t xml:space="preserve"> nu mai pot fi echipate cu sisteme de încălzire pe bază de petrol sau gaze, în timp ce </w:t>
      </w:r>
      <w:hyperlink r:id="rId168" w:history="1">
        <w:r>
          <w:rPr>
            <w:rStyle w:val="Hyperlink"/>
          </w:rPr>
          <w:t>Germania</w:t>
        </w:r>
      </w:hyperlink>
      <w:r>
        <w:t xml:space="preserve"> impune ca cel puțin 65 % din energia utilizată pentru înlocuirea sistemelor de încălzire să provină din surse regenerabile. Țările de </w:t>
      </w:r>
      <w:hyperlink r:id="rId169" w:history="1">
        <w:r>
          <w:rPr>
            <w:rStyle w:val="Hyperlink"/>
          </w:rPr>
          <w:t>Jos</w:t>
        </w:r>
      </w:hyperlink>
      <w:r>
        <w:t xml:space="preserve"> au adoptat o abordare și mai agresivă: În 2018 au fost interzise noi conexiuni la rețeaua de gaze, iar o lege din 2014 împuternicește autoritățile locale să deconecteze consumatorii de gaze și să îi transfere către încălzirea centralizată.</w:t>
      </w:r>
    </w:p>
    <w:p w14:paraId="2D456A4D" w14:textId="77777777" w:rsidR="007D2814" w:rsidRDefault="00DD102F">
      <w:pPr>
        <w:pStyle w:val="IEATableTitle"/>
      </w:pPr>
      <w:bookmarkStart w:id="78" w:name="_Toc198195017"/>
      <w:r>
        <w:t>Politicile privind aparatele și rolul acestora în adoptarea pompelor de căldură</w:t>
      </w:r>
      <w:bookmarkEnd w:id="78"/>
    </w:p>
    <w:tbl>
      <w:tblPr>
        <w:tblW w:w="8789" w:type="dxa"/>
        <w:tblCellMar>
          <w:left w:w="57" w:type="dxa"/>
          <w:right w:w="57" w:type="dxa"/>
        </w:tblCellMar>
        <w:tblLook w:val="04A0" w:firstRow="1" w:lastRow="0" w:firstColumn="1" w:lastColumn="0" w:noHBand="0" w:noVBand="1"/>
      </w:tblPr>
      <w:tblGrid>
        <w:gridCol w:w="885"/>
        <w:gridCol w:w="1716"/>
        <w:gridCol w:w="3080"/>
        <w:gridCol w:w="3108"/>
      </w:tblGrid>
      <w:tr w:rsidR="007D2814" w14:paraId="3A4858A6" w14:textId="77777777">
        <w:trPr>
          <w:trHeight w:val="340"/>
          <w:tblHeader/>
        </w:trPr>
        <w:tc>
          <w:tcPr>
            <w:tcW w:w="813" w:type="dxa"/>
            <w:shd w:val="clear" w:color="auto" w:fill="1F497D"/>
            <w:vAlign w:val="center"/>
          </w:tcPr>
          <w:p w14:paraId="671F34A2" w14:textId="127D807E" w:rsidR="007D2814" w:rsidRDefault="007D2814">
            <w:pPr>
              <w:jc w:val="center"/>
              <w:rPr>
                <w:rFonts w:cs="Arial"/>
                <w:b/>
                <w:color w:val="FFFFFF"/>
                <w:szCs w:val="22"/>
              </w:rPr>
            </w:pPr>
          </w:p>
        </w:tc>
        <w:tc>
          <w:tcPr>
            <w:tcW w:w="1183" w:type="dxa"/>
            <w:shd w:val="clear" w:color="auto" w:fill="1F497D"/>
            <w:vAlign w:val="bottom"/>
          </w:tcPr>
          <w:p w14:paraId="4A6CA7C3" w14:textId="50136103" w:rsidR="007D2814" w:rsidRDefault="007D2814">
            <w:pPr>
              <w:jc w:val="center"/>
              <w:rPr>
                <w:rFonts w:cs="Arial"/>
                <w:b/>
                <w:bCs/>
                <w:color w:val="FFFFFF" w:themeColor="background1"/>
                <w:szCs w:val="22"/>
              </w:rPr>
            </w:pPr>
          </w:p>
        </w:tc>
        <w:tc>
          <w:tcPr>
            <w:tcW w:w="6793" w:type="dxa"/>
            <w:gridSpan w:val="2"/>
            <w:shd w:val="clear" w:color="auto" w:fill="1F497D"/>
            <w:vAlign w:val="center"/>
          </w:tcPr>
          <w:p w14:paraId="0C3076C0" w14:textId="5BE86EB5" w:rsidR="007D2814" w:rsidRDefault="00DD102F">
            <w:pPr>
              <w:pStyle w:val="P68B1DB1-Normal4"/>
              <w:tabs>
                <w:tab w:val="left" w:pos="2667"/>
              </w:tabs>
              <w:jc w:val="center"/>
              <w:rPr>
                <w:bCs/>
                <w:color w:val="FFFFFF" w:themeColor="background1"/>
                <w:szCs w:val="22"/>
              </w:rPr>
            </w:pPr>
            <w:r>
              <w:t>Tipul echipamentului</w:t>
            </w:r>
          </w:p>
        </w:tc>
      </w:tr>
      <w:tr w:rsidR="007D2814" w14:paraId="556644EC" w14:textId="77777777">
        <w:trPr>
          <w:trHeight w:val="397"/>
        </w:trPr>
        <w:tc>
          <w:tcPr>
            <w:tcW w:w="813" w:type="dxa"/>
            <w:tcBorders>
              <w:left w:val="single" w:sz="4" w:space="0" w:color="FFFFFF"/>
              <w:bottom w:val="single" w:sz="4" w:space="0" w:color="FFFFFF"/>
              <w:right w:val="single" w:sz="4" w:space="0" w:color="FFFFFF"/>
            </w:tcBorders>
            <w:shd w:val="clear" w:color="auto" w:fill="D9D9D9"/>
            <w:vAlign w:val="bottom"/>
          </w:tcPr>
          <w:p w14:paraId="047DBB4A" w14:textId="7CE98B60" w:rsidR="007D2814" w:rsidRDefault="007D2814">
            <w:pPr>
              <w:jc w:val="center"/>
              <w:rPr>
                <w:rFonts w:cs="Arial"/>
                <w:szCs w:val="22"/>
              </w:rPr>
            </w:pPr>
          </w:p>
        </w:tc>
        <w:tc>
          <w:tcPr>
            <w:tcW w:w="1183" w:type="dxa"/>
            <w:tcBorders>
              <w:left w:val="single" w:sz="4" w:space="0" w:color="FFFFFF"/>
              <w:bottom w:val="single" w:sz="4" w:space="0" w:color="FFFFFF"/>
              <w:right w:val="single" w:sz="4" w:space="0" w:color="FFFFFF"/>
            </w:tcBorders>
            <w:shd w:val="clear" w:color="auto" w:fill="D9D9D9"/>
            <w:vAlign w:val="bottom"/>
          </w:tcPr>
          <w:p w14:paraId="6686B755" w14:textId="7DFD63C5" w:rsidR="007D2814" w:rsidRDefault="007D2814">
            <w:pPr>
              <w:jc w:val="center"/>
              <w:rPr>
                <w:rFonts w:cs="Arial"/>
                <w:szCs w:val="22"/>
              </w:rPr>
            </w:pPr>
          </w:p>
        </w:tc>
        <w:tc>
          <w:tcPr>
            <w:tcW w:w="3391" w:type="dxa"/>
            <w:tcBorders>
              <w:left w:val="single" w:sz="4" w:space="0" w:color="FFFFFF"/>
              <w:bottom w:val="single" w:sz="4" w:space="0" w:color="FFFFFF"/>
              <w:right w:val="single" w:sz="4" w:space="0" w:color="FFFFFF"/>
            </w:tcBorders>
            <w:shd w:val="clear" w:color="auto" w:fill="D9D9D9"/>
            <w:vAlign w:val="center"/>
          </w:tcPr>
          <w:p w14:paraId="59343396" w14:textId="223A5A7A" w:rsidR="007D2814" w:rsidRDefault="00DD102F">
            <w:pPr>
              <w:pStyle w:val="P68B1DB1-Normal9"/>
              <w:tabs>
                <w:tab w:val="left" w:pos="2667"/>
              </w:tabs>
              <w:jc w:val="center"/>
              <w:rPr>
                <w:bCs/>
                <w:szCs w:val="22"/>
              </w:rPr>
            </w:pPr>
            <w:r>
              <w:t>Echipamente moștenite</w:t>
            </w:r>
          </w:p>
        </w:tc>
        <w:tc>
          <w:tcPr>
            <w:tcW w:w="3402" w:type="dxa"/>
            <w:tcBorders>
              <w:left w:val="single" w:sz="4" w:space="0" w:color="FFFFFF"/>
              <w:bottom w:val="single" w:sz="4" w:space="0" w:color="FFFFFF"/>
              <w:right w:val="single" w:sz="4" w:space="0" w:color="FFFFFF"/>
            </w:tcBorders>
            <w:shd w:val="clear" w:color="auto" w:fill="D9D9D9"/>
            <w:vAlign w:val="center"/>
          </w:tcPr>
          <w:p w14:paraId="42ABD70F" w14:textId="198563ED" w:rsidR="007D2814" w:rsidRDefault="00DD102F">
            <w:pPr>
              <w:pStyle w:val="P68B1DB1-Normal9"/>
              <w:tabs>
                <w:tab w:val="left" w:pos="2667"/>
              </w:tabs>
              <w:jc w:val="center"/>
              <w:rPr>
                <w:bCs/>
                <w:szCs w:val="22"/>
              </w:rPr>
            </w:pPr>
            <w:r>
              <w:t>Pompă de căldură</w:t>
            </w:r>
          </w:p>
        </w:tc>
      </w:tr>
      <w:tr w:rsidR="007D2814" w14:paraId="18607A7D" w14:textId="77777777">
        <w:trPr>
          <w:trHeight w:val="1417"/>
        </w:trPr>
        <w:tc>
          <w:tcPr>
            <w:tcW w:w="813" w:type="dxa"/>
            <w:vMerge w:val="restart"/>
            <w:tcBorders>
              <w:top w:val="single" w:sz="4" w:space="0" w:color="FFFFFF"/>
              <w:left w:val="single" w:sz="4" w:space="0" w:color="FFFFFF"/>
              <w:right w:val="single" w:sz="4" w:space="0" w:color="FFFFFF"/>
            </w:tcBorders>
            <w:vAlign w:val="center"/>
          </w:tcPr>
          <w:p w14:paraId="4F6EEFD8" w14:textId="755ADC2D" w:rsidR="007D2814" w:rsidRDefault="00DD102F">
            <w:pPr>
              <w:pStyle w:val="P68B1DB1-Normal9"/>
              <w:jc w:val="center"/>
              <w:rPr>
                <w:bCs/>
                <w:szCs w:val="22"/>
              </w:rPr>
            </w:pPr>
            <w:r>
              <w:t>Tip de politică</w:t>
            </w:r>
          </w:p>
        </w:tc>
        <w:tc>
          <w:tcPr>
            <w:tcW w:w="1183" w:type="dxa"/>
            <w:tcBorders>
              <w:top w:val="single" w:sz="4" w:space="0" w:color="FFFFFF"/>
              <w:left w:val="single" w:sz="4" w:space="0" w:color="FFFFFF"/>
              <w:bottom w:val="single" w:sz="4" w:space="0" w:color="FFFFFF"/>
              <w:right w:val="single" w:sz="4" w:space="0" w:color="FFFFFF"/>
            </w:tcBorders>
            <w:vAlign w:val="center"/>
          </w:tcPr>
          <w:p w14:paraId="6DF410B3" w14:textId="5C236E44" w:rsidR="007D2814" w:rsidRDefault="00DD102F">
            <w:pPr>
              <w:pStyle w:val="P68B1DB1-Normal10"/>
              <w:jc w:val="center"/>
              <w:rPr>
                <w:bCs/>
              </w:rPr>
            </w:pPr>
            <w:r>
              <w:t>Restricționarea vânzărilor</w:t>
            </w:r>
          </w:p>
        </w:tc>
        <w:tc>
          <w:tcPr>
            <w:tcW w:w="3391" w:type="dxa"/>
            <w:tcBorders>
              <w:top w:val="single" w:sz="4" w:space="0" w:color="FFFFFF"/>
              <w:left w:val="single" w:sz="4" w:space="0" w:color="FFFFFF"/>
              <w:bottom w:val="single" w:sz="4" w:space="0" w:color="FFFFFF"/>
              <w:right w:val="single" w:sz="4" w:space="0" w:color="FFFFFF"/>
            </w:tcBorders>
          </w:tcPr>
          <w:p w14:paraId="6FE6C2A5" w14:textId="77777777" w:rsidR="007D2814" w:rsidRDefault="00DD102F">
            <w:pPr>
              <w:pStyle w:val="ListParagraph"/>
              <w:numPr>
                <w:ilvl w:val="0"/>
                <w:numId w:val="32"/>
              </w:numPr>
              <w:tabs>
                <w:tab w:val="left" w:pos="2667"/>
              </w:tabs>
              <w:ind w:left="206" w:hanging="141"/>
            </w:pPr>
            <w:r>
              <w:t>Interzicerea totală a vânzărilor în clădiri noi și/sau existente</w:t>
            </w:r>
          </w:p>
          <w:p w14:paraId="02C6295C" w14:textId="77777777" w:rsidR="007D2814" w:rsidRDefault="00DD102F">
            <w:pPr>
              <w:pStyle w:val="ListParagraph"/>
              <w:numPr>
                <w:ilvl w:val="0"/>
                <w:numId w:val="32"/>
              </w:numPr>
              <w:tabs>
                <w:tab w:val="left" w:pos="2667"/>
              </w:tabs>
              <w:ind w:left="206" w:hanging="141"/>
            </w:pPr>
            <w:r>
              <w:t>Retragerea etichetei de aprobare</w:t>
            </w:r>
          </w:p>
          <w:p w14:paraId="47319E0F" w14:textId="072D53D1" w:rsidR="007D2814" w:rsidRDefault="00DD102F">
            <w:pPr>
              <w:pStyle w:val="ListParagraph"/>
              <w:numPr>
                <w:ilvl w:val="0"/>
                <w:numId w:val="32"/>
              </w:numPr>
              <w:tabs>
                <w:tab w:val="left" w:pos="2667"/>
              </w:tabs>
              <w:ind w:left="206" w:hanging="141"/>
              <w:rPr>
                <w:rFonts w:cs="Arial"/>
              </w:rPr>
            </w:pPr>
            <w:r>
              <w:t>Cerințe de eficiență</w:t>
            </w:r>
          </w:p>
        </w:tc>
        <w:tc>
          <w:tcPr>
            <w:tcW w:w="3402" w:type="dxa"/>
            <w:tcBorders>
              <w:top w:val="single" w:sz="4" w:space="0" w:color="FFFFFF"/>
              <w:left w:val="single" w:sz="4" w:space="0" w:color="FFFFFF"/>
              <w:bottom w:val="single" w:sz="4" w:space="0" w:color="FFFFFF"/>
              <w:right w:val="single" w:sz="4" w:space="0" w:color="FFFFFF"/>
            </w:tcBorders>
          </w:tcPr>
          <w:p w14:paraId="5589892E" w14:textId="1034D447" w:rsidR="007D2814" w:rsidRDefault="00DD102F">
            <w:pPr>
              <w:pStyle w:val="ListParagraph"/>
              <w:numPr>
                <w:ilvl w:val="0"/>
                <w:numId w:val="32"/>
              </w:numPr>
              <w:tabs>
                <w:tab w:val="left" w:pos="2667"/>
              </w:tabs>
              <w:ind w:left="206" w:hanging="141"/>
            </w:pPr>
            <w:r>
              <w:t>Nu se aplică</w:t>
            </w:r>
          </w:p>
        </w:tc>
      </w:tr>
      <w:tr w:rsidR="007D2814" w14:paraId="4DD1C1DD" w14:textId="77777777">
        <w:trPr>
          <w:trHeight w:val="397"/>
        </w:trPr>
        <w:tc>
          <w:tcPr>
            <w:tcW w:w="813" w:type="dxa"/>
            <w:vMerge/>
            <w:tcBorders>
              <w:left w:val="single" w:sz="4" w:space="0" w:color="FFFFFF"/>
              <w:right w:val="single" w:sz="4" w:space="0" w:color="FFFFFF"/>
            </w:tcBorders>
            <w:shd w:val="clear" w:color="auto" w:fill="D9D9D9"/>
            <w:vAlign w:val="bottom"/>
          </w:tcPr>
          <w:p w14:paraId="4847B98B" w14:textId="5B55BE14" w:rsidR="007D2814" w:rsidRDefault="007D2814">
            <w:pPr>
              <w:jc w:val="center"/>
              <w:rPr>
                <w:rFonts w:cs="Arial"/>
                <w:szCs w:val="22"/>
              </w:rPr>
            </w:pPr>
          </w:p>
        </w:tc>
        <w:tc>
          <w:tcPr>
            <w:tcW w:w="1183" w:type="dxa"/>
            <w:tcBorders>
              <w:top w:val="single" w:sz="4" w:space="0" w:color="FFFFFF"/>
              <w:left w:val="single" w:sz="4" w:space="0" w:color="FFFFFF"/>
              <w:right w:val="single" w:sz="4" w:space="0" w:color="FFFFFF"/>
            </w:tcBorders>
            <w:shd w:val="clear" w:color="auto" w:fill="D9D9D9"/>
            <w:vAlign w:val="center"/>
          </w:tcPr>
          <w:p w14:paraId="02A5E2D1" w14:textId="33411670" w:rsidR="007D2814" w:rsidRDefault="00DD102F">
            <w:pPr>
              <w:pStyle w:val="P68B1DB1-Normal10"/>
              <w:jc w:val="center"/>
              <w:rPr>
                <w:bCs/>
              </w:rPr>
            </w:pPr>
            <w:r>
              <w:t>Standardul aparatului</w:t>
            </w:r>
          </w:p>
        </w:tc>
        <w:tc>
          <w:tcPr>
            <w:tcW w:w="3391" w:type="dxa"/>
            <w:tcBorders>
              <w:top w:val="single" w:sz="4" w:space="0" w:color="FFFFFF"/>
              <w:left w:val="single" w:sz="4" w:space="0" w:color="FFFFFF"/>
              <w:right w:val="single" w:sz="4" w:space="0" w:color="FFFFFF"/>
            </w:tcBorders>
            <w:shd w:val="clear" w:color="auto" w:fill="D9D9D9"/>
          </w:tcPr>
          <w:p w14:paraId="5C5FBAAF" w14:textId="77777777" w:rsidR="007D2814" w:rsidRDefault="00DD102F">
            <w:pPr>
              <w:pStyle w:val="ListParagraph"/>
              <w:numPr>
                <w:ilvl w:val="0"/>
                <w:numId w:val="32"/>
              </w:numPr>
              <w:tabs>
                <w:tab w:val="left" w:pos="2667"/>
              </w:tabs>
              <w:ind w:left="206" w:hanging="141"/>
            </w:pPr>
            <w:r>
              <w:t>Limitele emisiilor directe (de exemplu, NOx scăzut)</w:t>
            </w:r>
          </w:p>
          <w:p w14:paraId="30FB0CD2" w14:textId="5F89B7FE" w:rsidR="007D2814" w:rsidRDefault="00DD102F">
            <w:pPr>
              <w:pStyle w:val="ListParagraph"/>
              <w:numPr>
                <w:ilvl w:val="0"/>
                <w:numId w:val="32"/>
              </w:numPr>
              <w:tabs>
                <w:tab w:val="left" w:pos="2667"/>
              </w:tabs>
              <w:ind w:left="206" w:hanging="141"/>
              <w:rPr>
                <w:rFonts w:cs="Arial"/>
              </w:rPr>
            </w:pPr>
            <w:r>
              <w:t>Agenți frigorifici naturali cu potențial scăzut de încălzire globală</w:t>
            </w:r>
          </w:p>
        </w:tc>
        <w:tc>
          <w:tcPr>
            <w:tcW w:w="3402" w:type="dxa"/>
            <w:tcBorders>
              <w:top w:val="single" w:sz="4" w:space="0" w:color="FFFFFF"/>
              <w:left w:val="single" w:sz="4" w:space="0" w:color="FFFFFF"/>
              <w:right w:val="single" w:sz="4" w:space="0" w:color="FFFFFF"/>
            </w:tcBorders>
            <w:shd w:val="clear" w:color="auto" w:fill="D9D9D9"/>
          </w:tcPr>
          <w:p w14:paraId="4164851B" w14:textId="77777777" w:rsidR="007D2814" w:rsidRDefault="00DD102F">
            <w:pPr>
              <w:pStyle w:val="ListParagraph"/>
              <w:numPr>
                <w:ilvl w:val="0"/>
                <w:numId w:val="32"/>
              </w:numPr>
              <w:tabs>
                <w:tab w:val="left" w:pos="2667"/>
              </w:tabs>
              <w:ind w:left="206" w:hanging="141"/>
            </w:pPr>
            <w:r>
              <w:t>Eficiență</w:t>
            </w:r>
          </w:p>
          <w:p w14:paraId="485343FC" w14:textId="77777777" w:rsidR="007D2814" w:rsidRDefault="00DD102F">
            <w:pPr>
              <w:pStyle w:val="ListParagraph"/>
              <w:numPr>
                <w:ilvl w:val="0"/>
                <w:numId w:val="32"/>
              </w:numPr>
              <w:tabs>
                <w:tab w:val="left" w:pos="2667"/>
              </w:tabs>
              <w:ind w:left="206" w:hanging="141"/>
            </w:pPr>
            <w:r>
              <w:t>Performanță la temperatură scăzută (eficiență și menținerea capacității de încălzire)</w:t>
            </w:r>
          </w:p>
          <w:p w14:paraId="3D63F8F5" w14:textId="77777777" w:rsidR="007D2814" w:rsidRDefault="00DD102F">
            <w:pPr>
              <w:pStyle w:val="ListParagraph"/>
              <w:numPr>
                <w:ilvl w:val="0"/>
                <w:numId w:val="32"/>
              </w:numPr>
              <w:tabs>
                <w:tab w:val="left" w:pos="2667"/>
              </w:tabs>
              <w:ind w:left="206" w:hanging="141"/>
            </w:pPr>
            <w:r>
              <w:t>Zgomotul</w:t>
            </w:r>
          </w:p>
          <w:p w14:paraId="3F52A3C0" w14:textId="77777777" w:rsidR="007D2814" w:rsidRDefault="00DD102F">
            <w:pPr>
              <w:pStyle w:val="ListParagraph"/>
              <w:numPr>
                <w:ilvl w:val="0"/>
                <w:numId w:val="32"/>
              </w:numPr>
              <w:tabs>
                <w:tab w:val="left" w:pos="2667"/>
              </w:tabs>
              <w:ind w:left="206" w:hanging="141"/>
            </w:pPr>
            <w:r>
              <w:t>Funcționarea corectă a controalelor în condiții realiste</w:t>
            </w:r>
          </w:p>
          <w:p w14:paraId="2A27A42B" w14:textId="6060C0EF" w:rsidR="007D2814" w:rsidRDefault="00DD102F">
            <w:pPr>
              <w:pStyle w:val="ListParagraph"/>
              <w:numPr>
                <w:ilvl w:val="0"/>
                <w:numId w:val="32"/>
              </w:numPr>
              <w:tabs>
                <w:tab w:val="left" w:pos="2667"/>
              </w:tabs>
              <w:ind w:left="206" w:hanging="141"/>
              <w:rPr>
                <w:rFonts w:cs="Arial"/>
              </w:rPr>
            </w:pPr>
            <w:r>
              <w:t>Agenți frigorifici naturali</w:t>
            </w:r>
          </w:p>
        </w:tc>
      </w:tr>
    </w:tbl>
    <w:p w14:paraId="0731FC6B" w14:textId="2D0571CC" w:rsidR="007D2814" w:rsidRDefault="00DD102F">
      <w:pPr>
        <w:pStyle w:val="IEASources"/>
      </w:pPr>
      <w:r>
        <w:t xml:space="preserve">Sursă: </w:t>
      </w:r>
      <w:hyperlink r:id="rId170" w:history="1">
        <w:r>
          <w:rPr>
            <w:rStyle w:val="Hyperlink"/>
          </w:rPr>
          <w:t>Lowes et al.</w:t>
        </w:r>
      </w:hyperlink>
      <w:r>
        <w:t>, astfel cum a fost modificată de AIE.</w:t>
      </w:r>
    </w:p>
    <w:p w14:paraId="7D7C9BFD" w14:textId="6A5B921B" w:rsidR="007D2814" w:rsidRDefault="007D2814">
      <w:pPr>
        <w:pStyle w:val="IEASources"/>
      </w:pPr>
    </w:p>
    <w:p w14:paraId="23AD54DD" w14:textId="062C0BD4" w:rsidR="007D2814" w:rsidRDefault="00DD102F">
      <w:pPr>
        <w:pStyle w:val="IEABodyText"/>
      </w:pPr>
      <w:r>
        <w:t xml:space="preserve">Sistemele de etichetare energetică completează aceste măsuri prin orientarea consumatorilor către aparate mai eficiente. Moldova </w:t>
      </w:r>
      <w:hyperlink r:id="rId171" w:history="1">
        <w:r>
          <w:rPr>
            <w:rStyle w:val="Hyperlink"/>
          </w:rPr>
          <w:t>a integrat pe deplin</w:t>
        </w:r>
      </w:hyperlink>
      <w:r>
        <w:t xml:space="preserve"> în legislația națională directivele Uniunii Europene privind proiectarea ecologică și etichetarea energetică. Uniunea Europeană a încercat să facă un pas mai departe, urmărind să restricționeze din ce în ce mai mult vânzarea de dispozitive care </w:t>
      </w:r>
      <w:hyperlink r:id="rId172" w:history="1">
        <w:r>
          <w:rPr>
            <w:rStyle w:val="Hyperlink"/>
          </w:rPr>
          <w:t>se situează sub un nivel de eficiență</w:t>
        </w:r>
      </w:hyperlink>
      <w:r>
        <w:t xml:space="preserve"> de 115 %. În Statele Unite, programul EnergyStar a </w:t>
      </w:r>
      <w:hyperlink r:id="rId173" w:history="1">
        <w:r>
          <w:rPr>
            <w:rStyle w:val="Hyperlink"/>
          </w:rPr>
          <w:t>încetat să mai recunoască aparatele pe bază de combustibili fosili</w:t>
        </w:r>
      </w:hyperlink>
      <w:r>
        <w:t xml:space="preserve"> ca fiind „cele mai eficiente”, consolidând tranziția către soluții de încălzire cu emisii scăzute de dioxid de carbon.</w:t>
      </w:r>
    </w:p>
    <w:p w14:paraId="4B9D5A68" w14:textId="77777777" w:rsidR="007D2814" w:rsidRDefault="00DD102F">
      <w:pPr>
        <w:pStyle w:val="Heading3"/>
      </w:pPr>
      <w:bookmarkStart w:id="79" w:name="_Toc198194993"/>
      <w:r>
        <w:lastRenderedPageBreak/>
        <w:t>Planificarea și zonarea căldurii</w:t>
      </w:r>
      <w:bookmarkEnd w:id="79"/>
    </w:p>
    <w:p w14:paraId="6EA2237E" w14:textId="77777777" w:rsidR="007D2814" w:rsidRDefault="00DD102F">
      <w:pPr>
        <w:pStyle w:val="IEABodyText"/>
      </w:pPr>
      <w:r>
        <w:t>Guvernele naționale joacă un rol esențial în elaborarea unor planuri integrate pe termen lung pentru sectoarele încălzirii. Având în vedere investițiile substanțiale de care au nevoie sistemele de încălzire – fie pentru rețelele de termoficare, fie pentru rețelele de energie electrică pentru a alimenta pompele de căldură – o înțelegere clară a cererii și ofertei viitoare de încălzire este esențială pentru o planificare eficace. Un studiu național privind căldura ar putea contribui la soluționarea acestei probleme.</w:t>
      </w:r>
    </w:p>
    <w:p w14:paraId="5D387F33" w14:textId="27FE5519" w:rsidR="007D2814" w:rsidRDefault="00DD102F">
      <w:pPr>
        <w:pStyle w:val="IEABodyText"/>
      </w:pPr>
      <w:hyperlink r:id="rId174" w:history="1">
        <w:r>
          <w:rPr>
            <w:rStyle w:val="Hyperlink"/>
          </w:rPr>
          <w:t>Directiva revizuită a Uniunii Europene din 2023 privind eficiența energetică</w:t>
        </w:r>
      </w:hyperlink>
      <w:r>
        <w:t xml:space="preserve"> prevede că toate municipalitățile cu peste 45 000 de locuitori trebuie să efectueze planificarea pe termen lung a încălzirii și răcirii. Municipalitățile joacă un rol important în determinarea nevoilor termice ale constituenților lor și sunt bine plasate pentru a reuni toți actorii implicați în sector. În plus, ele pot adopta legi de zonare care impun ca anumite zone să fie conectate la un anumit tip de încălzire. Viena, printre multe alte orașe, a definit zone de încălzire centralizată.</w:t>
      </w:r>
    </w:p>
    <w:p w14:paraId="5B74AD0E" w14:textId="77777777" w:rsidR="007D2814" w:rsidRDefault="00DD102F">
      <w:pPr>
        <w:pStyle w:val="Heading3"/>
      </w:pPr>
      <w:bookmarkStart w:id="80" w:name="_Toc198194994"/>
      <w:r>
        <w:t>Colectarea datelor</w:t>
      </w:r>
      <w:bookmarkEnd w:id="80"/>
    </w:p>
    <w:p w14:paraId="261FD0A6" w14:textId="77777777" w:rsidR="007D2814" w:rsidRDefault="00DD102F">
      <w:pPr>
        <w:pStyle w:val="IEABodyText"/>
      </w:pPr>
      <w:r>
        <w:t xml:space="preserve">Îmbunătățirea colectării datelor privind instalarea pompelor de căldură în Moldova este esențială atât pentru monitorizarea pieței, cât și pentru evaluarea progreselor înregistrate în direcția atingerii obiectivelor privind energia din surse regenerabile. O abordare mai sistematică a colectării datelor ar permite factorilor de decizie să urmărească adoptarea pompelor de căldură, să identifice tendințele pieței și să elimine barierele din calea creșterii. </w:t>
      </w:r>
    </w:p>
    <w:p w14:paraId="2D942CA0" w14:textId="77777777" w:rsidR="007D2814" w:rsidRDefault="00DD102F">
      <w:pPr>
        <w:pStyle w:val="IEABodyText"/>
      </w:pPr>
      <w:r>
        <w:t>Aceasta include colectarea de informații detaliate privind vânzările și industria, precum și privind parcul imobiliar și performanța. Aceasta implică, de asemenea, integrarea indicatorilor pompelor de căldură, cum ar fi „consumul de căldură ambientală”, în statisticile energetice naționale. Datele fiabile sunt, de asemenea, esențiale pentru calcularea cu precizie a ponderii energiei din surse regenerabile în încălzire și răcire, asigurând conformitatea cu cerințele de raportare ale Uniunii Europene. Consolidarea colaborării dintre agențiile guvernamentale, părțile interesate din industrie și utilități poate îmbunătăți acuratețea și disponibilitatea datelor, sprijinind o mai bună elaborare a politicilor și planificare a investițiilor pentru instalarea pompelor de căldură în Moldova.</w:t>
      </w:r>
    </w:p>
    <w:p w14:paraId="2880B212" w14:textId="77777777" w:rsidR="007D2814" w:rsidRDefault="00DD102F">
      <w:pPr>
        <w:pStyle w:val="Heading3"/>
      </w:pPr>
      <w:bookmarkStart w:id="81" w:name="_Toc198194995"/>
      <w:r>
        <w:t>Recomandări de politică</w:t>
      </w:r>
      <w:bookmarkEnd w:id="81"/>
    </w:p>
    <w:p w14:paraId="6C3C1C00" w14:textId="77777777" w:rsidR="007D2814" w:rsidRDefault="00DD102F">
      <w:pPr>
        <w:pStyle w:val="IEABodyBulletTextlevel1"/>
      </w:pPr>
      <w:r>
        <w:t>Restricționarea utilizării gazelor naturale și a biomasei în clădirile noi, în conformitate cu Directiva privind performanța energetică a clădirilor</w:t>
      </w:r>
    </w:p>
    <w:p w14:paraId="590B266E" w14:textId="12317126" w:rsidR="007D2814" w:rsidRDefault="00DD102F">
      <w:pPr>
        <w:pStyle w:val="IEABodyBulletTextlevel1"/>
      </w:pPr>
      <w:r>
        <w:t xml:space="preserve">Restricționarea </w:t>
      </w:r>
      <w:r w:rsidR="00AE6CF5">
        <w:t xml:space="preserve">instalării </w:t>
      </w:r>
      <w:r>
        <w:t>de cazane pe bază de combustibili fosili în clădirile existente, în conformitate cu Directiva privind performanța energetică a clădirilor</w:t>
      </w:r>
    </w:p>
    <w:p w14:paraId="1BCE42AC" w14:textId="77777777" w:rsidR="007D2814" w:rsidRDefault="00DD102F">
      <w:pPr>
        <w:pStyle w:val="IEABodyBulletTextlevel1"/>
      </w:pPr>
      <w:r>
        <w:lastRenderedPageBreak/>
        <w:t>Luarea în considerare a unei restricții privind biomasa în clădirile existente din zonele urbane în care poluarea aerului poate fi semnificativă</w:t>
      </w:r>
    </w:p>
    <w:p w14:paraId="52E08BDD" w14:textId="77777777" w:rsidR="007D2814" w:rsidRDefault="00DD102F">
      <w:pPr>
        <w:pStyle w:val="IEABodyBulletTextlevel1"/>
      </w:pPr>
      <w:r>
        <w:t>Convocarea unei conferințe naționale privind planificarea încălzirii și răcirii, care invită administrațiile naționale și locale</w:t>
      </w:r>
    </w:p>
    <w:p w14:paraId="0B626CCA" w14:textId="77777777" w:rsidR="007D2814" w:rsidRDefault="00DD102F">
      <w:pPr>
        <w:pStyle w:val="IEABodyBulletTextlevel1"/>
      </w:pPr>
      <w:r>
        <w:t>Colectarea de date privind piața pompelor de căldură, energia din surse regenerabile pentru încălzire și răcire și parcul imobiliar</w:t>
      </w:r>
    </w:p>
    <w:p w14:paraId="521A1AB0" w14:textId="77777777" w:rsidR="007D2814" w:rsidRDefault="007D2814">
      <w:pPr>
        <w:pStyle w:val="Heading2"/>
        <w:sectPr w:rsidR="007D2814" w:rsidSect="0066209A">
          <w:headerReference w:type="default" r:id="rId175"/>
          <w:endnotePr>
            <w:numFmt w:val="decimal"/>
            <w:numRestart w:val="eachSect"/>
          </w:endnotePr>
          <w:type w:val="continuous"/>
          <w:pgSz w:w="11906" w:h="16838" w:code="9"/>
          <w:pgMar w:top="1588" w:right="1588" w:bottom="1588" w:left="1588" w:header="709" w:footer="709" w:gutter="0"/>
          <w:cols w:space="708"/>
          <w:docGrid w:linePitch="360"/>
        </w:sectPr>
      </w:pPr>
      <w:bookmarkStart w:id="82" w:name="_Toc198194996"/>
    </w:p>
    <w:p w14:paraId="1657A6B4" w14:textId="336115C7" w:rsidR="007D2814" w:rsidRDefault="00DD102F">
      <w:pPr>
        <w:pStyle w:val="Heading2"/>
      </w:pPr>
      <w:bookmarkStart w:id="83" w:name="_Toc201571410"/>
      <w:r>
        <w:lastRenderedPageBreak/>
        <w:t>O cale pentru pompele de căldură</w:t>
      </w:r>
      <w:bookmarkEnd w:id="82"/>
      <w:bookmarkEnd w:id="83"/>
    </w:p>
    <w:p w14:paraId="3BA315D7" w14:textId="77777777" w:rsidR="007D2814" w:rsidRDefault="00DD102F">
      <w:pPr>
        <w:pStyle w:val="IEABodyText"/>
      </w:pPr>
      <w:r>
        <w:t xml:space="preserve">Pompele de căldură pot consolida securitatea energetică, independența, poluarea aerului și emisiile Moldovei și chiar pot îmbunătăți accesibilitatea energiei. Având în vedere tulburările regionale – în special din sectorul energetic – din ultimii trei ani și de la începutul anului 2025, există argumente convingătoare pentru reducerea consumului de gaze naturale prin instalarea pompelor de căldură. </w:t>
      </w:r>
    </w:p>
    <w:p w14:paraId="202DAF50" w14:textId="084142E3" w:rsidR="007D2814" w:rsidRDefault="00DD102F">
      <w:pPr>
        <w:pStyle w:val="IEABodyText"/>
      </w:pPr>
      <w:r>
        <w:t>Deși Moldova abia începe să își realizeze potențialul de pompă de căldură, acest lucru reprezintă o oportunitate semnificativă de a proiecta sistemul în mod eficace – prin stimularea cererii, extinderea ofertei, finanțarea tranziției și stabilirea unor reglementări clare. O abordare cuprinzătoare va contribui la asigurarea unei implementări constante și ordonate. Următorul tabel recomandă acțiuni specifice cu un interval de timp și sugerează ministerului să supravegheze acțiunea.</w:t>
      </w:r>
    </w:p>
    <w:p w14:paraId="6B3A202A" w14:textId="315776C0" w:rsidR="007D2814" w:rsidRDefault="00DD102F">
      <w:pPr>
        <w:pStyle w:val="IEATableTitle"/>
      </w:pPr>
      <w:r>
        <w:t>Acțiuni prioritare pentru creșterea pieței pompelor de căldură în Moldova</w:t>
      </w:r>
    </w:p>
    <w:tbl>
      <w:tblPr>
        <w:tblStyle w:val="TableGrid"/>
        <w:tblW w:w="0" w:type="auto"/>
        <w:tblLook w:val="04A0" w:firstRow="1" w:lastRow="0" w:firstColumn="1" w:lastColumn="0" w:noHBand="0" w:noVBand="1"/>
      </w:tblPr>
      <w:tblGrid>
        <w:gridCol w:w="4782"/>
        <w:gridCol w:w="1308"/>
        <w:gridCol w:w="660"/>
        <w:gridCol w:w="660"/>
        <w:gridCol w:w="660"/>
        <w:gridCol w:w="660"/>
      </w:tblGrid>
      <w:tr w:rsidR="007D2814" w14:paraId="6271BCBC" w14:textId="77777777" w:rsidTr="004B3BAE">
        <w:tc>
          <w:tcPr>
            <w:tcW w:w="4782" w:type="dxa"/>
            <w:tcBorders>
              <w:top w:val="nil"/>
              <w:left w:val="nil"/>
              <w:bottom w:val="nil"/>
              <w:right w:val="nil"/>
            </w:tcBorders>
          </w:tcPr>
          <w:p w14:paraId="10A853D2" w14:textId="77777777" w:rsidR="007D2814" w:rsidRDefault="007D2814">
            <w:pPr>
              <w:rPr>
                <w:sz w:val="18"/>
                <w:szCs w:val="18"/>
              </w:rPr>
            </w:pPr>
          </w:p>
        </w:tc>
        <w:tc>
          <w:tcPr>
            <w:tcW w:w="1308" w:type="dxa"/>
            <w:vMerge w:val="restart"/>
            <w:tcBorders>
              <w:top w:val="nil"/>
              <w:left w:val="nil"/>
              <w:bottom w:val="nil"/>
              <w:right w:val="nil"/>
            </w:tcBorders>
            <w:shd w:val="clear" w:color="auto" w:fill="E7E6E6" w:themeFill="background2"/>
          </w:tcPr>
          <w:p w14:paraId="24A45B02" w14:textId="77777777" w:rsidR="007D2814" w:rsidRDefault="00DD102F">
            <w:pPr>
              <w:pStyle w:val="P68B1DB1-Normal11"/>
              <w:jc w:val="center"/>
              <w:rPr>
                <w:bCs/>
                <w:szCs w:val="18"/>
              </w:rPr>
            </w:pPr>
            <w:r>
              <w:t>Ministerul responsabil</w:t>
            </w:r>
          </w:p>
        </w:tc>
        <w:tc>
          <w:tcPr>
            <w:tcW w:w="2640" w:type="dxa"/>
            <w:gridSpan w:val="4"/>
            <w:tcBorders>
              <w:top w:val="nil"/>
              <w:left w:val="nil"/>
              <w:bottom w:val="nil"/>
              <w:right w:val="nil"/>
            </w:tcBorders>
            <w:shd w:val="clear" w:color="auto" w:fill="E7E6E6" w:themeFill="background2"/>
          </w:tcPr>
          <w:p w14:paraId="50442CA6" w14:textId="77777777" w:rsidR="007D2814" w:rsidRDefault="00DD102F">
            <w:pPr>
              <w:pStyle w:val="P68B1DB1-Normal11"/>
              <w:jc w:val="center"/>
              <w:rPr>
                <w:bCs/>
                <w:szCs w:val="18"/>
              </w:rPr>
            </w:pPr>
            <w:r>
              <w:t>CADRU DE TIMP</w:t>
            </w:r>
          </w:p>
        </w:tc>
      </w:tr>
      <w:tr w:rsidR="007D2814" w14:paraId="515CFAAC" w14:textId="77777777" w:rsidTr="004B3BAE">
        <w:trPr>
          <w:trHeight w:val="283"/>
        </w:trPr>
        <w:tc>
          <w:tcPr>
            <w:tcW w:w="4782" w:type="dxa"/>
            <w:tcBorders>
              <w:top w:val="nil"/>
              <w:left w:val="nil"/>
              <w:bottom w:val="nil"/>
              <w:right w:val="nil"/>
            </w:tcBorders>
          </w:tcPr>
          <w:p w14:paraId="40626FBC" w14:textId="77777777" w:rsidR="007D2814" w:rsidRDefault="007D2814">
            <w:pPr>
              <w:rPr>
                <w:sz w:val="18"/>
                <w:szCs w:val="18"/>
              </w:rPr>
            </w:pPr>
          </w:p>
        </w:tc>
        <w:tc>
          <w:tcPr>
            <w:tcW w:w="1308" w:type="dxa"/>
            <w:vMerge/>
            <w:tcBorders>
              <w:top w:val="nil"/>
              <w:left w:val="nil"/>
              <w:bottom w:val="nil"/>
              <w:right w:val="nil"/>
            </w:tcBorders>
            <w:shd w:val="clear" w:color="auto" w:fill="E7E6E6" w:themeFill="background2"/>
          </w:tcPr>
          <w:p w14:paraId="1B65474E" w14:textId="77777777" w:rsidR="007D2814" w:rsidRDefault="007D2814">
            <w:pPr>
              <w:jc w:val="center"/>
              <w:rPr>
                <w:b/>
                <w:bCs/>
                <w:sz w:val="18"/>
                <w:szCs w:val="18"/>
              </w:rPr>
            </w:pPr>
          </w:p>
        </w:tc>
        <w:tc>
          <w:tcPr>
            <w:tcW w:w="660" w:type="dxa"/>
            <w:tcBorders>
              <w:top w:val="nil"/>
              <w:left w:val="nil"/>
              <w:bottom w:val="nil"/>
              <w:right w:val="nil"/>
            </w:tcBorders>
            <w:shd w:val="clear" w:color="auto" w:fill="E7E6E6" w:themeFill="background2"/>
          </w:tcPr>
          <w:p w14:paraId="176D442B" w14:textId="77777777" w:rsidR="007D2814" w:rsidRDefault="00DD102F">
            <w:pPr>
              <w:pStyle w:val="P68B1DB1-Normal11"/>
              <w:jc w:val="center"/>
              <w:rPr>
                <w:bCs/>
                <w:szCs w:val="18"/>
              </w:rPr>
            </w:pPr>
            <w:r>
              <w:t>2025</w:t>
            </w:r>
          </w:p>
        </w:tc>
        <w:tc>
          <w:tcPr>
            <w:tcW w:w="660" w:type="dxa"/>
            <w:tcBorders>
              <w:top w:val="nil"/>
              <w:left w:val="nil"/>
              <w:bottom w:val="nil"/>
              <w:right w:val="nil"/>
            </w:tcBorders>
            <w:shd w:val="clear" w:color="auto" w:fill="E7E6E6" w:themeFill="background2"/>
          </w:tcPr>
          <w:p w14:paraId="55DCEE60" w14:textId="77777777" w:rsidR="007D2814" w:rsidRDefault="00DD102F">
            <w:pPr>
              <w:pStyle w:val="P68B1DB1-Normal11"/>
              <w:jc w:val="center"/>
              <w:rPr>
                <w:bCs/>
                <w:szCs w:val="18"/>
              </w:rPr>
            </w:pPr>
            <w:r>
              <w:t>2030</w:t>
            </w:r>
          </w:p>
        </w:tc>
        <w:tc>
          <w:tcPr>
            <w:tcW w:w="660" w:type="dxa"/>
            <w:tcBorders>
              <w:top w:val="nil"/>
              <w:left w:val="nil"/>
              <w:bottom w:val="nil"/>
              <w:right w:val="nil"/>
            </w:tcBorders>
            <w:shd w:val="clear" w:color="auto" w:fill="E7E6E6" w:themeFill="background2"/>
          </w:tcPr>
          <w:p w14:paraId="17B1C107" w14:textId="77777777" w:rsidR="007D2814" w:rsidRDefault="00DD102F">
            <w:pPr>
              <w:pStyle w:val="P68B1DB1-Normal11"/>
              <w:jc w:val="center"/>
              <w:rPr>
                <w:bCs/>
                <w:szCs w:val="18"/>
              </w:rPr>
            </w:pPr>
            <w:r>
              <w:t>2035</w:t>
            </w:r>
          </w:p>
        </w:tc>
        <w:tc>
          <w:tcPr>
            <w:tcW w:w="660" w:type="dxa"/>
            <w:tcBorders>
              <w:top w:val="nil"/>
              <w:left w:val="nil"/>
              <w:bottom w:val="nil"/>
              <w:right w:val="nil"/>
            </w:tcBorders>
            <w:shd w:val="clear" w:color="auto" w:fill="E7E6E6" w:themeFill="background2"/>
          </w:tcPr>
          <w:p w14:paraId="1946EF74" w14:textId="77777777" w:rsidR="007D2814" w:rsidRDefault="00DD102F">
            <w:pPr>
              <w:pStyle w:val="P68B1DB1-Normal11"/>
              <w:jc w:val="center"/>
              <w:rPr>
                <w:bCs/>
                <w:szCs w:val="18"/>
              </w:rPr>
            </w:pPr>
            <w:r>
              <w:t>2040</w:t>
            </w:r>
          </w:p>
        </w:tc>
      </w:tr>
      <w:tr w:rsidR="007D2814" w14:paraId="43AF8694" w14:textId="77777777" w:rsidTr="004B3BAE">
        <w:tc>
          <w:tcPr>
            <w:tcW w:w="8730" w:type="dxa"/>
            <w:gridSpan w:val="6"/>
            <w:tcBorders>
              <w:top w:val="nil"/>
              <w:left w:val="nil"/>
              <w:bottom w:val="nil"/>
              <w:right w:val="nil"/>
            </w:tcBorders>
            <w:shd w:val="clear" w:color="auto" w:fill="E7E6E6" w:themeFill="background2"/>
          </w:tcPr>
          <w:p w14:paraId="770987E6" w14:textId="77777777" w:rsidR="007D2814" w:rsidRDefault="00DD102F">
            <w:pPr>
              <w:pStyle w:val="P68B1DB1-Normal11"/>
              <w:rPr>
                <w:bCs/>
                <w:szCs w:val="18"/>
              </w:rPr>
            </w:pPr>
            <w:r>
              <w:t>Cadrul de politică</w:t>
            </w:r>
          </w:p>
        </w:tc>
      </w:tr>
      <w:tr w:rsidR="007D2814" w14:paraId="6DF8B8B4" w14:textId="77777777" w:rsidTr="004B3BAE">
        <w:tc>
          <w:tcPr>
            <w:tcW w:w="4782" w:type="dxa"/>
            <w:tcBorders>
              <w:top w:val="nil"/>
              <w:left w:val="nil"/>
              <w:bottom w:val="nil"/>
              <w:right w:val="nil"/>
            </w:tcBorders>
          </w:tcPr>
          <w:p w14:paraId="3FCAB7B4" w14:textId="77777777" w:rsidR="007D2814" w:rsidRDefault="00DD102F">
            <w:pPr>
              <w:pStyle w:val="P68B1DB1-Normal12"/>
              <w:jc w:val="right"/>
              <w:rPr>
                <w:szCs w:val="16"/>
              </w:rPr>
            </w:pPr>
            <w:r>
              <w:t>Elaborarea unei strategii naționale de încălzire și răcire</w:t>
            </w:r>
          </w:p>
        </w:tc>
        <w:tc>
          <w:tcPr>
            <w:tcW w:w="1308" w:type="dxa"/>
            <w:tcBorders>
              <w:top w:val="nil"/>
              <w:left w:val="nil"/>
              <w:bottom w:val="nil"/>
              <w:right w:val="nil"/>
            </w:tcBorders>
          </w:tcPr>
          <w:p w14:paraId="5EF6495C" w14:textId="77777777" w:rsidR="007D2814" w:rsidRDefault="00DD102F">
            <w:pPr>
              <w:pStyle w:val="P68B1DB1-Normal12"/>
              <w:rPr>
                <w:szCs w:val="16"/>
              </w:rPr>
            </w:pPr>
            <w:r>
              <w:t>ENER</w:t>
            </w:r>
          </w:p>
        </w:tc>
        <w:tc>
          <w:tcPr>
            <w:tcW w:w="660" w:type="dxa"/>
            <w:tcBorders>
              <w:top w:val="nil"/>
              <w:left w:val="nil"/>
              <w:bottom w:val="nil"/>
              <w:right w:val="nil"/>
            </w:tcBorders>
            <w:shd w:val="clear" w:color="auto" w:fill="68F394"/>
          </w:tcPr>
          <w:p w14:paraId="29692783" w14:textId="77777777" w:rsidR="007D2814" w:rsidRDefault="007D2814"/>
        </w:tc>
        <w:tc>
          <w:tcPr>
            <w:tcW w:w="660" w:type="dxa"/>
            <w:tcBorders>
              <w:top w:val="nil"/>
              <w:left w:val="nil"/>
              <w:bottom w:val="nil"/>
              <w:right w:val="nil"/>
            </w:tcBorders>
            <w:shd w:val="clear" w:color="auto" w:fill="68F394"/>
          </w:tcPr>
          <w:p w14:paraId="421DA54E" w14:textId="77777777" w:rsidR="007D2814" w:rsidRDefault="007D2814"/>
        </w:tc>
        <w:tc>
          <w:tcPr>
            <w:tcW w:w="660" w:type="dxa"/>
            <w:tcBorders>
              <w:top w:val="nil"/>
              <w:left w:val="nil"/>
              <w:bottom w:val="nil"/>
              <w:right w:val="nil"/>
            </w:tcBorders>
          </w:tcPr>
          <w:p w14:paraId="065B7D94" w14:textId="77777777" w:rsidR="007D2814" w:rsidRDefault="007D2814"/>
        </w:tc>
        <w:tc>
          <w:tcPr>
            <w:tcW w:w="660" w:type="dxa"/>
            <w:tcBorders>
              <w:top w:val="nil"/>
              <w:left w:val="nil"/>
              <w:bottom w:val="nil"/>
              <w:right w:val="nil"/>
            </w:tcBorders>
          </w:tcPr>
          <w:p w14:paraId="7EED3AE1" w14:textId="77777777" w:rsidR="007D2814" w:rsidRDefault="007D2814"/>
        </w:tc>
      </w:tr>
      <w:tr w:rsidR="007D2814" w14:paraId="11309B4B" w14:textId="77777777" w:rsidTr="004B3BAE">
        <w:tc>
          <w:tcPr>
            <w:tcW w:w="4782" w:type="dxa"/>
            <w:tcBorders>
              <w:top w:val="nil"/>
              <w:left w:val="nil"/>
              <w:bottom w:val="nil"/>
              <w:right w:val="nil"/>
            </w:tcBorders>
          </w:tcPr>
          <w:p w14:paraId="79D2D20A" w14:textId="77777777" w:rsidR="007D2814" w:rsidRDefault="00DD102F">
            <w:pPr>
              <w:pStyle w:val="P68B1DB1-Normal12"/>
              <w:jc w:val="right"/>
              <w:rPr>
                <w:szCs w:val="16"/>
              </w:rPr>
            </w:pPr>
            <w:r>
              <w:t>Clarificarea rolului pompelor de căldură în decarbonizarea căldurii și luarea în considerare a obiectivelor specifice tehnologiei</w:t>
            </w:r>
          </w:p>
        </w:tc>
        <w:tc>
          <w:tcPr>
            <w:tcW w:w="1308" w:type="dxa"/>
            <w:tcBorders>
              <w:top w:val="nil"/>
              <w:left w:val="nil"/>
              <w:bottom w:val="nil"/>
              <w:right w:val="nil"/>
            </w:tcBorders>
          </w:tcPr>
          <w:p w14:paraId="27D0C531" w14:textId="77777777" w:rsidR="007D2814" w:rsidRDefault="00DD102F">
            <w:pPr>
              <w:pStyle w:val="P68B1DB1-Normal12"/>
              <w:rPr>
                <w:szCs w:val="16"/>
              </w:rPr>
            </w:pPr>
            <w:r>
              <w:t>ENER</w:t>
            </w:r>
          </w:p>
        </w:tc>
        <w:tc>
          <w:tcPr>
            <w:tcW w:w="660" w:type="dxa"/>
            <w:tcBorders>
              <w:top w:val="nil"/>
              <w:left w:val="nil"/>
              <w:bottom w:val="nil"/>
              <w:right w:val="nil"/>
            </w:tcBorders>
            <w:shd w:val="clear" w:color="auto" w:fill="68F394"/>
          </w:tcPr>
          <w:p w14:paraId="0F29B083" w14:textId="77777777" w:rsidR="007D2814" w:rsidRDefault="007D2814"/>
        </w:tc>
        <w:tc>
          <w:tcPr>
            <w:tcW w:w="660" w:type="dxa"/>
            <w:tcBorders>
              <w:top w:val="nil"/>
              <w:left w:val="nil"/>
              <w:bottom w:val="nil"/>
              <w:right w:val="nil"/>
            </w:tcBorders>
            <w:shd w:val="clear" w:color="auto" w:fill="68F394"/>
          </w:tcPr>
          <w:p w14:paraId="4D653E8C" w14:textId="77777777" w:rsidR="007D2814" w:rsidRDefault="007D2814"/>
        </w:tc>
        <w:tc>
          <w:tcPr>
            <w:tcW w:w="660" w:type="dxa"/>
            <w:tcBorders>
              <w:top w:val="nil"/>
              <w:left w:val="nil"/>
              <w:bottom w:val="nil"/>
              <w:right w:val="nil"/>
            </w:tcBorders>
          </w:tcPr>
          <w:p w14:paraId="401D5A19" w14:textId="77777777" w:rsidR="007D2814" w:rsidRDefault="007D2814"/>
        </w:tc>
        <w:tc>
          <w:tcPr>
            <w:tcW w:w="660" w:type="dxa"/>
            <w:tcBorders>
              <w:top w:val="nil"/>
              <w:left w:val="nil"/>
              <w:bottom w:val="nil"/>
              <w:right w:val="nil"/>
            </w:tcBorders>
          </w:tcPr>
          <w:p w14:paraId="411657BC" w14:textId="77777777" w:rsidR="007D2814" w:rsidRDefault="007D2814"/>
        </w:tc>
      </w:tr>
      <w:tr w:rsidR="007D2814" w14:paraId="12608247" w14:textId="77777777" w:rsidTr="004B3BAE">
        <w:tc>
          <w:tcPr>
            <w:tcW w:w="4782" w:type="dxa"/>
            <w:tcBorders>
              <w:top w:val="nil"/>
              <w:left w:val="nil"/>
              <w:bottom w:val="nil"/>
              <w:right w:val="nil"/>
            </w:tcBorders>
          </w:tcPr>
          <w:p w14:paraId="10C2577A" w14:textId="77777777" w:rsidR="007D2814" w:rsidRDefault="00DD102F">
            <w:pPr>
              <w:pStyle w:val="P68B1DB1-Normal12"/>
              <w:jc w:val="right"/>
              <w:rPr>
                <w:szCs w:val="16"/>
              </w:rPr>
            </w:pPr>
            <w:r>
              <w:t>Solicitarea autorităților locale să stabilească planuri de încălzire și răcire</w:t>
            </w:r>
          </w:p>
        </w:tc>
        <w:tc>
          <w:tcPr>
            <w:tcW w:w="1308" w:type="dxa"/>
            <w:tcBorders>
              <w:top w:val="nil"/>
              <w:left w:val="nil"/>
              <w:bottom w:val="nil"/>
              <w:right w:val="nil"/>
            </w:tcBorders>
          </w:tcPr>
          <w:p w14:paraId="0AA2A4E3" w14:textId="77777777" w:rsidR="007D2814" w:rsidRDefault="00DD102F">
            <w:pPr>
              <w:pStyle w:val="P68B1DB1-Normal12"/>
              <w:rPr>
                <w:szCs w:val="16"/>
              </w:rPr>
            </w:pPr>
            <w:r>
              <w:t>ENER</w:t>
            </w:r>
          </w:p>
        </w:tc>
        <w:tc>
          <w:tcPr>
            <w:tcW w:w="660" w:type="dxa"/>
            <w:tcBorders>
              <w:top w:val="nil"/>
              <w:left w:val="nil"/>
              <w:bottom w:val="nil"/>
              <w:right w:val="nil"/>
            </w:tcBorders>
            <w:shd w:val="clear" w:color="auto" w:fill="68F394"/>
          </w:tcPr>
          <w:p w14:paraId="1C9C4978" w14:textId="77777777" w:rsidR="007D2814" w:rsidRDefault="007D2814"/>
        </w:tc>
        <w:tc>
          <w:tcPr>
            <w:tcW w:w="660" w:type="dxa"/>
            <w:tcBorders>
              <w:top w:val="nil"/>
              <w:left w:val="nil"/>
              <w:bottom w:val="nil"/>
              <w:right w:val="nil"/>
            </w:tcBorders>
            <w:shd w:val="clear" w:color="auto" w:fill="68F394"/>
          </w:tcPr>
          <w:p w14:paraId="32BB527E" w14:textId="77777777" w:rsidR="007D2814" w:rsidRDefault="007D2814"/>
        </w:tc>
        <w:tc>
          <w:tcPr>
            <w:tcW w:w="660" w:type="dxa"/>
            <w:tcBorders>
              <w:top w:val="nil"/>
              <w:left w:val="nil"/>
              <w:bottom w:val="nil"/>
              <w:right w:val="nil"/>
            </w:tcBorders>
            <w:shd w:val="clear" w:color="auto" w:fill="68F394"/>
          </w:tcPr>
          <w:p w14:paraId="575873B4" w14:textId="77777777" w:rsidR="007D2814" w:rsidRDefault="007D2814"/>
        </w:tc>
        <w:tc>
          <w:tcPr>
            <w:tcW w:w="660" w:type="dxa"/>
            <w:tcBorders>
              <w:top w:val="nil"/>
              <w:left w:val="nil"/>
              <w:bottom w:val="nil"/>
              <w:right w:val="nil"/>
            </w:tcBorders>
            <w:shd w:val="clear" w:color="auto" w:fill="68F394"/>
          </w:tcPr>
          <w:p w14:paraId="775BA89D" w14:textId="77777777" w:rsidR="007D2814" w:rsidRDefault="007D2814"/>
        </w:tc>
      </w:tr>
      <w:tr w:rsidR="007D2814" w14:paraId="48216506" w14:textId="77777777" w:rsidTr="004B3BAE">
        <w:tc>
          <w:tcPr>
            <w:tcW w:w="4782" w:type="dxa"/>
            <w:tcBorders>
              <w:top w:val="nil"/>
              <w:left w:val="nil"/>
              <w:bottom w:val="nil"/>
              <w:right w:val="nil"/>
            </w:tcBorders>
          </w:tcPr>
          <w:p w14:paraId="1B729F5C" w14:textId="77777777" w:rsidR="007D2814" w:rsidRDefault="00DD102F">
            <w:pPr>
              <w:pStyle w:val="P68B1DB1-Normal12"/>
              <w:jc w:val="right"/>
              <w:rPr>
                <w:szCs w:val="16"/>
              </w:rPr>
            </w:pPr>
            <w:r>
              <w:t>Adoptarea unei strategii de renovare a clădirilor pe termen lung</w:t>
            </w:r>
          </w:p>
        </w:tc>
        <w:tc>
          <w:tcPr>
            <w:tcW w:w="1308" w:type="dxa"/>
            <w:tcBorders>
              <w:top w:val="nil"/>
              <w:left w:val="nil"/>
              <w:bottom w:val="nil"/>
              <w:right w:val="nil"/>
            </w:tcBorders>
          </w:tcPr>
          <w:p w14:paraId="17583D6E" w14:textId="77777777" w:rsidR="007D2814" w:rsidRDefault="00DD102F">
            <w:pPr>
              <w:pStyle w:val="P68B1DB1-Normal12"/>
              <w:rPr>
                <w:szCs w:val="16"/>
              </w:rPr>
            </w:pPr>
            <w:r>
              <w:t>ENER</w:t>
            </w:r>
          </w:p>
        </w:tc>
        <w:tc>
          <w:tcPr>
            <w:tcW w:w="660" w:type="dxa"/>
            <w:tcBorders>
              <w:top w:val="nil"/>
              <w:left w:val="nil"/>
              <w:bottom w:val="nil"/>
              <w:right w:val="nil"/>
            </w:tcBorders>
            <w:shd w:val="clear" w:color="auto" w:fill="68F394"/>
          </w:tcPr>
          <w:p w14:paraId="2F39507F" w14:textId="77777777" w:rsidR="007D2814" w:rsidRDefault="007D2814"/>
        </w:tc>
        <w:tc>
          <w:tcPr>
            <w:tcW w:w="660" w:type="dxa"/>
            <w:tcBorders>
              <w:top w:val="nil"/>
              <w:left w:val="nil"/>
              <w:bottom w:val="nil"/>
              <w:right w:val="nil"/>
            </w:tcBorders>
            <w:shd w:val="clear" w:color="auto" w:fill="68F394"/>
          </w:tcPr>
          <w:p w14:paraId="44D1E011" w14:textId="77777777" w:rsidR="007D2814" w:rsidRDefault="007D2814"/>
        </w:tc>
        <w:tc>
          <w:tcPr>
            <w:tcW w:w="660" w:type="dxa"/>
            <w:tcBorders>
              <w:top w:val="nil"/>
              <w:left w:val="nil"/>
              <w:bottom w:val="nil"/>
              <w:right w:val="nil"/>
            </w:tcBorders>
            <w:shd w:val="clear" w:color="auto" w:fill="68F394"/>
          </w:tcPr>
          <w:p w14:paraId="428DD467" w14:textId="77777777" w:rsidR="007D2814" w:rsidRDefault="007D2814"/>
        </w:tc>
        <w:tc>
          <w:tcPr>
            <w:tcW w:w="660" w:type="dxa"/>
            <w:tcBorders>
              <w:top w:val="nil"/>
              <w:left w:val="nil"/>
              <w:bottom w:val="nil"/>
              <w:right w:val="nil"/>
            </w:tcBorders>
            <w:shd w:val="clear" w:color="auto" w:fill="68F394"/>
          </w:tcPr>
          <w:p w14:paraId="561A404B" w14:textId="77777777" w:rsidR="007D2814" w:rsidRDefault="007D2814"/>
        </w:tc>
      </w:tr>
      <w:tr w:rsidR="007D2814" w14:paraId="173629CD" w14:textId="77777777" w:rsidTr="004B3BAE">
        <w:tc>
          <w:tcPr>
            <w:tcW w:w="4782" w:type="dxa"/>
            <w:tcBorders>
              <w:top w:val="nil"/>
              <w:left w:val="nil"/>
              <w:bottom w:val="nil"/>
              <w:right w:val="nil"/>
            </w:tcBorders>
          </w:tcPr>
          <w:p w14:paraId="442D609C" w14:textId="77777777" w:rsidR="007D2814" w:rsidRDefault="00DD102F">
            <w:pPr>
              <w:pStyle w:val="P68B1DB1-Normal12"/>
              <w:jc w:val="right"/>
              <w:rPr>
                <w:szCs w:val="16"/>
              </w:rPr>
            </w:pPr>
            <w:r>
              <w:t>Adoptarea unei noi directive EPBD aliniate la Uniunea Europeană</w:t>
            </w:r>
          </w:p>
        </w:tc>
        <w:tc>
          <w:tcPr>
            <w:tcW w:w="1308" w:type="dxa"/>
            <w:tcBorders>
              <w:top w:val="nil"/>
              <w:left w:val="nil"/>
              <w:bottom w:val="nil"/>
              <w:right w:val="nil"/>
            </w:tcBorders>
          </w:tcPr>
          <w:p w14:paraId="1BE01AD0" w14:textId="77777777" w:rsidR="007D2814" w:rsidRDefault="00DD102F">
            <w:pPr>
              <w:pStyle w:val="P68B1DB1-Normal12"/>
              <w:rPr>
                <w:szCs w:val="16"/>
              </w:rPr>
            </w:pPr>
            <w:r>
              <w:t>ENER</w:t>
            </w:r>
          </w:p>
        </w:tc>
        <w:tc>
          <w:tcPr>
            <w:tcW w:w="660" w:type="dxa"/>
            <w:tcBorders>
              <w:top w:val="nil"/>
              <w:left w:val="nil"/>
              <w:bottom w:val="nil"/>
              <w:right w:val="nil"/>
            </w:tcBorders>
          </w:tcPr>
          <w:p w14:paraId="7F7164BE" w14:textId="77777777" w:rsidR="007D2814" w:rsidRDefault="007D2814"/>
        </w:tc>
        <w:tc>
          <w:tcPr>
            <w:tcW w:w="660" w:type="dxa"/>
            <w:tcBorders>
              <w:top w:val="nil"/>
              <w:left w:val="nil"/>
              <w:bottom w:val="nil"/>
              <w:right w:val="nil"/>
            </w:tcBorders>
            <w:shd w:val="clear" w:color="auto" w:fill="68F394"/>
          </w:tcPr>
          <w:p w14:paraId="3C32BC4B" w14:textId="77777777" w:rsidR="007D2814" w:rsidRDefault="007D2814"/>
        </w:tc>
        <w:tc>
          <w:tcPr>
            <w:tcW w:w="660" w:type="dxa"/>
            <w:tcBorders>
              <w:top w:val="nil"/>
              <w:left w:val="nil"/>
              <w:bottom w:val="nil"/>
              <w:right w:val="nil"/>
            </w:tcBorders>
          </w:tcPr>
          <w:p w14:paraId="016E590D" w14:textId="77777777" w:rsidR="007D2814" w:rsidRDefault="007D2814"/>
        </w:tc>
        <w:tc>
          <w:tcPr>
            <w:tcW w:w="660" w:type="dxa"/>
            <w:tcBorders>
              <w:top w:val="nil"/>
              <w:left w:val="nil"/>
              <w:bottom w:val="nil"/>
              <w:right w:val="nil"/>
            </w:tcBorders>
          </w:tcPr>
          <w:p w14:paraId="015AE5FF" w14:textId="77777777" w:rsidR="007D2814" w:rsidRDefault="007D2814"/>
        </w:tc>
      </w:tr>
      <w:tr w:rsidR="007D2814" w14:paraId="5B33E23F" w14:textId="77777777" w:rsidTr="004B3BAE">
        <w:tc>
          <w:tcPr>
            <w:tcW w:w="4782" w:type="dxa"/>
            <w:tcBorders>
              <w:top w:val="nil"/>
              <w:left w:val="nil"/>
              <w:bottom w:val="nil"/>
              <w:right w:val="nil"/>
            </w:tcBorders>
          </w:tcPr>
          <w:p w14:paraId="13EE6B5C" w14:textId="77777777" w:rsidR="007D2814" w:rsidRDefault="00DD102F">
            <w:pPr>
              <w:pStyle w:val="P68B1DB1-Normal12"/>
              <w:jc w:val="right"/>
              <w:rPr>
                <w:szCs w:val="16"/>
              </w:rPr>
            </w:pPr>
            <w:r>
              <w:t xml:space="preserve">Actualizarea Legii privind energia din surse regenerabile, astfel încât aceasta să contabilizeze căldura ambiantă și energia electrică pentru căldură </w:t>
            </w:r>
          </w:p>
        </w:tc>
        <w:tc>
          <w:tcPr>
            <w:tcW w:w="1308" w:type="dxa"/>
            <w:tcBorders>
              <w:top w:val="nil"/>
              <w:left w:val="nil"/>
              <w:bottom w:val="nil"/>
              <w:right w:val="nil"/>
            </w:tcBorders>
          </w:tcPr>
          <w:p w14:paraId="3C99775C" w14:textId="77777777" w:rsidR="007D2814" w:rsidRDefault="00DD102F">
            <w:pPr>
              <w:pStyle w:val="P68B1DB1-Normal12"/>
              <w:rPr>
                <w:szCs w:val="16"/>
              </w:rPr>
            </w:pPr>
            <w:r>
              <w:t>ENER</w:t>
            </w:r>
          </w:p>
        </w:tc>
        <w:tc>
          <w:tcPr>
            <w:tcW w:w="660" w:type="dxa"/>
            <w:tcBorders>
              <w:top w:val="nil"/>
              <w:left w:val="nil"/>
              <w:bottom w:val="nil"/>
              <w:right w:val="nil"/>
            </w:tcBorders>
          </w:tcPr>
          <w:p w14:paraId="6684D8D4" w14:textId="77777777" w:rsidR="007D2814" w:rsidRDefault="007D2814"/>
        </w:tc>
        <w:tc>
          <w:tcPr>
            <w:tcW w:w="660" w:type="dxa"/>
            <w:tcBorders>
              <w:top w:val="nil"/>
              <w:left w:val="nil"/>
              <w:bottom w:val="nil"/>
              <w:right w:val="nil"/>
            </w:tcBorders>
            <w:shd w:val="clear" w:color="auto" w:fill="68F394"/>
          </w:tcPr>
          <w:p w14:paraId="117F1B6E" w14:textId="77777777" w:rsidR="007D2814" w:rsidRDefault="007D2814"/>
        </w:tc>
        <w:tc>
          <w:tcPr>
            <w:tcW w:w="660" w:type="dxa"/>
            <w:tcBorders>
              <w:top w:val="nil"/>
              <w:left w:val="nil"/>
              <w:bottom w:val="nil"/>
              <w:right w:val="nil"/>
            </w:tcBorders>
          </w:tcPr>
          <w:p w14:paraId="544BF957" w14:textId="77777777" w:rsidR="007D2814" w:rsidRDefault="007D2814"/>
        </w:tc>
        <w:tc>
          <w:tcPr>
            <w:tcW w:w="660" w:type="dxa"/>
            <w:tcBorders>
              <w:top w:val="nil"/>
              <w:left w:val="nil"/>
              <w:bottom w:val="nil"/>
              <w:right w:val="nil"/>
            </w:tcBorders>
          </w:tcPr>
          <w:p w14:paraId="01A96928" w14:textId="77777777" w:rsidR="007D2814" w:rsidRDefault="007D2814"/>
        </w:tc>
      </w:tr>
      <w:tr w:rsidR="007D2814" w14:paraId="4904EE82" w14:textId="77777777" w:rsidTr="004B3BAE">
        <w:tc>
          <w:tcPr>
            <w:tcW w:w="8730" w:type="dxa"/>
            <w:gridSpan w:val="6"/>
            <w:tcBorders>
              <w:top w:val="nil"/>
              <w:left w:val="nil"/>
              <w:bottom w:val="nil"/>
              <w:right w:val="nil"/>
            </w:tcBorders>
            <w:shd w:val="clear" w:color="auto" w:fill="E7E6E6" w:themeFill="background2"/>
          </w:tcPr>
          <w:p w14:paraId="707B6600" w14:textId="77777777" w:rsidR="007D2814" w:rsidRDefault="00DD102F">
            <w:pPr>
              <w:pStyle w:val="P68B1DB1-Normal11"/>
              <w:rPr>
                <w:bCs/>
                <w:szCs w:val="18"/>
              </w:rPr>
            </w:pPr>
            <w:r>
              <w:t>Comunicare și coordonare</w:t>
            </w:r>
          </w:p>
        </w:tc>
      </w:tr>
      <w:tr w:rsidR="007D2814" w14:paraId="4DD5A933" w14:textId="77777777" w:rsidTr="004B3BAE">
        <w:tc>
          <w:tcPr>
            <w:tcW w:w="4782" w:type="dxa"/>
            <w:tcBorders>
              <w:top w:val="nil"/>
              <w:left w:val="nil"/>
              <w:bottom w:val="nil"/>
              <w:right w:val="nil"/>
            </w:tcBorders>
          </w:tcPr>
          <w:p w14:paraId="5D3EC944" w14:textId="0AFD43AE" w:rsidR="007D2814" w:rsidRDefault="00DD102F" w:rsidP="008E3CA2">
            <w:pPr>
              <w:pStyle w:val="P68B1DB1-Normal12"/>
              <w:jc w:val="right"/>
              <w:rPr>
                <w:szCs w:val="16"/>
              </w:rPr>
            </w:pPr>
            <w:r>
              <w:t xml:space="preserve">Organizarea consolidării </w:t>
            </w:r>
            <w:r w:rsidR="008E3CA2">
              <w:t>cunoștințelor funcționarilor guvernamentali și publici despre</w:t>
            </w:r>
            <w:r>
              <w:t xml:space="preserve"> pompel</w:t>
            </w:r>
            <w:r w:rsidR="008E3CA2">
              <w:t>e</w:t>
            </w:r>
            <w:r>
              <w:t xml:space="preserve"> de căldură</w:t>
            </w:r>
          </w:p>
        </w:tc>
        <w:tc>
          <w:tcPr>
            <w:tcW w:w="1308" w:type="dxa"/>
            <w:tcBorders>
              <w:top w:val="nil"/>
              <w:left w:val="nil"/>
              <w:bottom w:val="nil"/>
              <w:right w:val="nil"/>
            </w:tcBorders>
          </w:tcPr>
          <w:p w14:paraId="4CBC1FF3" w14:textId="77777777" w:rsidR="007D2814" w:rsidRDefault="00DD102F">
            <w:pPr>
              <w:pStyle w:val="P68B1DB1-Normal12"/>
              <w:rPr>
                <w:szCs w:val="16"/>
              </w:rPr>
            </w:pPr>
            <w:r>
              <w:t>ENER</w:t>
            </w:r>
          </w:p>
        </w:tc>
        <w:tc>
          <w:tcPr>
            <w:tcW w:w="660" w:type="dxa"/>
            <w:tcBorders>
              <w:top w:val="nil"/>
              <w:left w:val="nil"/>
              <w:bottom w:val="nil"/>
              <w:right w:val="nil"/>
            </w:tcBorders>
            <w:shd w:val="clear" w:color="auto" w:fill="68F394"/>
          </w:tcPr>
          <w:p w14:paraId="68229CD8" w14:textId="77777777" w:rsidR="007D2814" w:rsidRDefault="007D2814"/>
        </w:tc>
        <w:tc>
          <w:tcPr>
            <w:tcW w:w="660" w:type="dxa"/>
            <w:tcBorders>
              <w:top w:val="nil"/>
              <w:left w:val="nil"/>
              <w:bottom w:val="nil"/>
              <w:right w:val="nil"/>
            </w:tcBorders>
            <w:shd w:val="clear" w:color="auto" w:fill="68F394"/>
          </w:tcPr>
          <w:p w14:paraId="12E7F612" w14:textId="77777777" w:rsidR="007D2814" w:rsidRDefault="007D2814"/>
        </w:tc>
        <w:tc>
          <w:tcPr>
            <w:tcW w:w="660" w:type="dxa"/>
            <w:tcBorders>
              <w:top w:val="nil"/>
              <w:left w:val="nil"/>
              <w:bottom w:val="nil"/>
              <w:right w:val="nil"/>
            </w:tcBorders>
          </w:tcPr>
          <w:p w14:paraId="67D7BDB8" w14:textId="77777777" w:rsidR="007D2814" w:rsidRDefault="007D2814"/>
        </w:tc>
        <w:tc>
          <w:tcPr>
            <w:tcW w:w="660" w:type="dxa"/>
            <w:tcBorders>
              <w:top w:val="nil"/>
              <w:left w:val="nil"/>
              <w:bottom w:val="nil"/>
              <w:right w:val="nil"/>
            </w:tcBorders>
          </w:tcPr>
          <w:p w14:paraId="5A9629FD" w14:textId="77777777" w:rsidR="007D2814" w:rsidRDefault="007D2814"/>
        </w:tc>
      </w:tr>
      <w:tr w:rsidR="007D2814" w14:paraId="02C75D25" w14:textId="77777777" w:rsidTr="004B3BAE">
        <w:tc>
          <w:tcPr>
            <w:tcW w:w="4782" w:type="dxa"/>
            <w:tcBorders>
              <w:top w:val="nil"/>
              <w:left w:val="nil"/>
              <w:bottom w:val="nil"/>
              <w:right w:val="nil"/>
            </w:tcBorders>
          </w:tcPr>
          <w:p w14:paraId="18C8DEA6" w14:textId="77777777" w:rsidR="007D2814" w:rsidRDefault="00DD102F">
            <w:pPr>
              <w:pStyle w:val="P68B1DB1-Normal12"/>
              <w:jc w:val="right"/>
              <w:rPr>
                <w:szCs w:val="16"/>
              </w:rPr>
            </w:pPr>
            <w:r>
              <w:t>Desfășurarea de campanii de sensibilizare a publicului pentru a informa cetățenii cu privire la beneficiile și avantajele economice ale pompelor de căldură</w:t>
            </w:r>
          </w:p>
        </w:tc>
        <w:tc>
          <w:tcPr>
            <w:tcW w:w="1308" w:type="dxa"/>
            <w:tcBorders>
              <w:top w:val="nil"/>
              <w:left w:val="nil"/>
              <w:bottom w:val="nil"/>
              <w:right w:val="nil"/>
            </w:tcBorders>
          </w:tcPr>
          <w:p w14:paraId="6D1246F7" w14:textId="77777777" w:rsidR="007D2814" w:rsidRDefault="00DD102F">
            <w:pPr>
              <w:pStyle w:val="P68B1DB1-Normal12"/>
              <w:rPr>
                <w:szCs w:val="16"/>
              </w:rPr>
            </w:pPr>
            <w:r>
              <w:t>ENER</w:t>
            </w:r>
          </w:p>
        </w:tc>
        <w:tc>
          <w:tcPr>
            <w:tcW w:w="660" w:type="dxa"/>
            <w:tcBorders>
              <w:top w:val="nil"/>
              <w:left w:val="nil"/>
              <w:bottom w:val="nil"/>
              <w:right w:val="nil"/>
            </w:tcBorders>
            <w:shd w:val="clear" w:color="auto" w:fill="68F394"/>
          </w:tcPr>
          <w:p w14:paraId="71396890" w14:textId="77777777" w:rsidR="007D2814" w:rsidRDefault="007D2814"/>
        </w:tc>
        <w:tc>
          <w:tcPr>
            <w:tcW w:w="660" w:type="dxa"/>
            <w:tcBorders>
              <w:top w:val="nil"/>
              <w:left w:val="nil"/>
              <w:bottom w:val="nil"/>
              <w:right w:val="nil"/>
            </w:tcBorders>
            <w:shd w:val="clear" w:color="auto" w:fill="68F394"/>
          </w:tcPr>
          <w:p w14:paraId="426D5FD0" w14:textId="77777777" w:rsidR="007D2814" w:rsidRDefault="007D2814"/>
        </w:tc>
        <w:tc>
          <w:tcPr>
            <w:tcW w:w="660" w:type="dxa"/>
            <w:tcBorders>
              <w:top w:val="nil"/>
              <w:left w:val="nil"/>
              <w:bottom w:val="nil"/>
              <w:right w:val="nil"/>
            </w:tcBorders>
            <w:shd w:val="clear" w:color="auto" w:fill="68F394"/>
          </w:tcPr>
          <w:p w14:paraId="79018002" w14:textId="77777777" w:rsidR="007D2814" w:rsidRDefault="007D2814"/>
        </w:tc>
        <w:tc>
          <w:tcPr>
            <w:tcW w:w="660" w:type="dxa"/>
            <w:tcBorders>
              <w:top w:val="nil"/>
              <w:left w:val="nil"/>
              <w:bottom w:val="nil"/>
              <w:right w:val="nil"/>
            </w:tcBorders>
          </w:tcPr>
          <w:p w14:paraId="4998B793" w14:textId="77777777" w:rsidR="007D2814" w:rsidRDefault="007D2814"/>
        </w:tc>
      </w:tr>
      <w:tr w:rsidR="007D2814" w14:paraId="1E6041DA" w14:textId="77777777" w:rsidTr="004B3BAE">
        <w:tc>
          <w:tcPr>
            <w:tcW w:w="4782" w:type="dxa"/>
            <w:tcBorders>
              <w:top w:val="nil"/>
              <w:left w:val="nil"/>
              <w:bottom w:val="nil"/>
              <w:right w:val="nil"/>
            </w:tcBorders>
          </w:tcPr>
          <w:p w14:paraId="354D06A5" w14:textId="77777777" w:rsidR="007D2814" w:rsidRDefault="00DD102F">
            <w:pPr>
              <w:pStyle w:val="P68B1DB1-Normal12"/>
              <w:jc w:val="right"/>
              <w:rPr>
                <w:szCs w:val="16"/>
              </w:rPr>
            </w:pPr>
            <w:r>
              <w:t>Comunicarea cu instalatorii cu privire la rolul pompelor de căldură pentru a se asigura că aceștia își informează în mod corespunzător clienții</w:t>
            </w:r>
          </w:p>
        </w:tc>
        <w:tc>
          <w:tcPr>
            <w:tcW w:w="1308" w:type="dxa"/>
            <w:tcBorders>
              <w:top w:val="nil"/>
              <w:left w:val="nil"/>
              <w:bottom w:val="nil"/>
              <w:right w:val="nil"/>
            </w:tcBorders>
          </w:tcPr>
          <w:p w14:paraId="6704B63E" w14:textId="77777777" w:rsidR="007D2814" w:rsidRDefault="00DD102F">
            <w:pPr>
              <w:pStyle w:val="P68B1DB1-Normal12"/>
              <w:rPr>
                <w:szCs w:val="16"/>
              </w:rPr>
            </w:pPr>
            <w:r>
              <w:t>ENER</w:t>
            </w:r>
          </w:p>
        </w:tc>
        <w:tc>
          <w:tcPr>
            <w:tcW w:w="660" w:type="dxa"/>
            <w:tcBorders>
              <w:top w:val="nil"/>
              <w:left w:val="nil"/>
              <w:bottom w:val="nil"/>
              <w:right w:val="nil"/>
            </w:tcBorders>
            <w:shd w:val="clear" w:color="auto" w:fill="68F394"/>
          </w:tcPr>
          <w:p w14:paraId="3AD0523F" w14:textId="77777777" w:rsidR="007D2814" w:rsidRDefault="007D2814"/>
        </w:tc>
        <w:tc>
          <w:tcPr>
            <w:tcW w:w="660" w:type="dxa"/>
            <w:tcBorders>
              <w:top w:val="nil"/>
              <w:left w:val="nil"/>
              <w:bottom w:val="nil"/>
              <w:right w:val="nil"/>
            </w:tcBorders>
            <w:shd w:val="clear" w:color="auto" w:fill="68F394"/>
          </w:tcPr>
          <w:p w14:paraId="64F0200A" w14:textId="77777777" w:rsidR="007D2814" w:rsidRDefault="007D2814"/>
        </w:tc>
        <w:tc>
          <w:tcPr>
            <w:tcW w:w="660" w:type="dxa"/>
            <w:tcBorders>
              <w:top w:val="nil"/>
              <w:left w:val="nil"/>
              <w:bottom w:val="nil"/>
              <w:right w:val="nil"/>
            </w:tcBorders>
            <w:shd w:val="clear" w:color="auto" w:fill="68F394"/>
          </w:tcPr>
          <w:p w14:paraId="6B0A01B6" w14:textId="77777777" w:rsidR="007D2814" w:rsidRDefault="007D2814"/>
        </w:tc>
        <w:tc>
          <w:tcPr>
            <w:tcW w:w="660" w:type="dxa"/>
            <w:tcBorders>
              <w:top w:val="nil"/>
              <w:left w:val="nil"/>
              <w:bottom w:val="nil"/>
              <w:right w:val="nil"/>
            </w:tcBorders>
          </w:tcPr>
          <w:p w14:paraId="79F09A66" w14:textId="77777777" w:rsidR="007D2814" w:rsidRDefault="007D2814"/>
        </w:tc>
      </w:tr>
      <w:tr w:rsidR="007D2814" w14:paraId="12D847F3" w14:textId="77777777" w:rsidTr="004B3BAE">
        <w:tc>
          <w:tcPr>
            <w:tcW w:w="4782" w:type="dxa"/>
            <w:tcBorders>
              <w:top w:val="nil"/>
              <w:left w:val="nil"/>
              <w:bottom w:val="nil"/>
              <w:right w:val="nil"/>
            </w:tcBorders>
          </w:tcPr>
          <w:p w14:paraId="6DCB1957" w14:textId="77777777" w:rsidR="007D2814" w:rsidRDefault="00DD102F">
            <w:pPr>
              <w:pStyle w:val="P68B1DB1-Normal12"/>
              <w:jc w:val="right"/>
              <w:rPr>
                <w:szCs w:val="16"/>
              </w:rPr>
            </w:pPr>
            <w:r>
              <w:t>Crearea de platforme ale părților interesate pentru ca cetățenii și instalatorii de pompe de căldură să se implice și să facă schimb de experiență</w:t>
            </w:r>
          </w:p>
        </w:tc>
        <w:tc>
          <w:tcPr>
            <w:tcW w:w="1308" w:type="dxa"/>
            <w:tcBorders>
              <w:top w:val="nil"/>
              <w:left w:val="nil"/>
              <w:bottom w:val="nil"/>
              <w:right w:val="nil"/>
            </w:tcBorders>
          </w:tcPr>
          <w:p w14:paraId="239813F2" w14:textId="77777777" w:rsidR="007D2814" w:rsidRDefault="00DD102F">
            <w:pPr>
              <w:pStyle w:val="P68B1DB1-Normal12"/>
              <w:rPr>
                <w:szCs w:val="16"/>
              </w:rPr>
            </w:pPr>
            <w:r>
              <w:t>ENER</w:t>
            </w:r>
          </w:p>
        </w:tc>
        <w:tc>
          <w:tcPr>
            <w:tcW w:w="660" w:type="dxa"/>
            <w:tcBorders>
              <w:top w:val="nil"/>
              <w:left w:val="nil"/>
              <w:bottom w:val="nil"/>
              <w:right w:val="nil"/>
            </w:tcBorders>
          </w:tcPr>
          <w:p w14:paraId="1C41EFC7" w14:textId="77777777" w:rsidR="007D2814" w:rsidRDefault="007D2814"/>
        </w:tc>
        <w:tc>
          <w:tcPr>
            <w:tcW w:w="660" w:type="dxa"/>
            <w:tcBorders>
              <w:top w:val="nil"/>
              <w:left w:val="nil"/>
              <w:bottom w:val="nil"/>
              <w:right w:val="nil"/>
            </w:tcBorders>
            <w:shd w:val="clear" w:color="auto" w:fill="68F394"/>
          </w:tcPr>
          <w:p w14:paraId="28985600" w14:textId="77777777" w:rsidR="007D2814" w:rsidRDefault="007D2814"/>
        </w:tc>
        <w:tc>
          <w:tcPr>
            <w:tcW w:w="660" w:type="dxa"/>
            <w:tcBorders>
              <w:top w:val="nil"/>
              <w:left w:val="nil"/>
              <w:bottom w:val="nil"/>
              <w:right w:val="nil"/>
            </w:tcBorders>
            <w:shd w:val="clear" w:color="auto" w:fill="68F394"/>
          </w:tcPr>
          <w:p w14:paraId="7727F405" w14:textId="77777777" w:rsidR="007D2814" w:rsidRDefault="007D2814"/>
        </w:tc>
        <w:tc>
          <w:tcPr>
            <w:tcW w:w="660" w:type="dxa"/>
            <w:tcBorders>
              <w:top w:val="nil"/>
              <w:left w:val="nil"/>
              <w:bottom w:val="nil"/>
              <w:right w:val="nil"/>
            </w:tcBorders>
          </w:tcPr>
          <w:p w14:paraId="52C96298" w14:textId="77777777" w:rsidR="007D2814" w:rsidRDefault="007D2814"/>
        </w:tc>
      </w:tr>
      <w:tr w:rsidR="007D2814" w14:paraId="37B523D9" w14:textId="77777777" w:rsidTr="004B3BAE">
        <w:tc>
          <w:tcPr>
            <w:tcW w:w="8730" w:type="dxa"/>
            <w:gridSpan w:val="6"/>
            <w:tcBorders>
              <w:top w:val="nil"/>
              <w:left w:val="nil"/>
              <w:bottom w:val="nil"/>
              <w:right w:val="nil"/>
            </w:tcBorders>
            <w:shd w:val="clear" w:color="auto" w:fill="E7E6E6" w:themeFill="background2"/>
          </w:tcPr>
          <w:p w14:paraId="0E4CE9E1" w14:textId="77777777" w:rsidR="007D2814" w:rsidRDefault="00DD102F">
            <w:pPr>
              <w:pStyle w:val="P68B1DB1-Normal11"/>
              <w:rPr>
                <w:bCs/>
                <w:szCs w:val="18"/>
              </w:rPr>
            </w:pPr>
            <w:r>
              <w:t>Construirea pieței</w:t>
            </w:r>
          </w:p>
        </w:tc>
      </w:tr>
      <w:tr w:rsidR="007D2814" w14:paraId="2751EF06" w14:textId="77777777" w:rsidTr="004B3BAE">
        <w:tc>
          <w:tcPr>
            <w:tcW w:w="4782" w:type="dxa"/>
            <w:tcBorders>
              <w:top w:val="nil"/>
              <w:left w:val="nil"/>
              <w:bottom w:val="nil"/>
              <w:right w:val="nil"/>
            </w:tcBorders>
          </w:tcPr>
          <w:p w14:paraId="77CD6DFD" w14:textId="77777777" w:rsidR="007D2814" w:rsidRDefault="00DD102F">
            <w:pPr>
              <w:pStyle w:val="P68B1DB1-Normal12"/>
              <w:jc w:val="right"/>
              <w:rPr>
                <w:szCs w:val="16"/>
              </w:rPr>
            </w:pPr>
            <w:r>
              <w:t>Introducerea unor stimulente pentru producție, cum ar fi scutirile de la plata impozitului pe profit</w:t>
            </w:r>
          </w:p>
        </w:tc>
        <w:tc>
          <w:tcPr>
            <w:tcW w:w="1308" w:type="dxa"/>
            <w:tcBorders>
              <w:top w:val="nil"/>
              <w:left w:val="nil"/>
              <w:bottom w:val="nil"/>
              <w:right w:val="nil"/>
            </w:tcBorders>
          </w:tcPr>
          <w:p w14:paraId="1F0175DA" w14:textId="77777777" w:rsidR="007D2814" w:rsidRDefault="00DD102F">
            <w:pPr>
              <w:pStyle w:val="P68B1DB1-Normal12"/>
              <w:rPr>
                <w:szCs w:val="16"/>
              </w:rPr>
            </w:pPr>
            <w:r>
              <w:t>MIRD</w:t>
            </w:r>
          </w:p>
        </w:tc>
        <w:tc>
          <w:tcPr>
            <w:tcW w:w="660" w:type="dxa"/>
            <w:tcBorders>
              <w:top w:val="nil"/>
              <w:left w:val="nil"/>
              <w:bottom w:val="nil"/>
              <w:right w:val="nil"/>
            </w:tcBorders>
          </w:tcPr>
          <w:p w14:paraId="1612F840" w14:textId="77777777" w:rsidR="007D2814" w:rsidRDefault="007D2814"/>
        </w:tc>
        <w:tc>
          <w:tcPr>
            <w:tcW w:w="660" w:type="dxa"/>
            <w:tcBorders>
              <w:top w:val="nil"/>
              <w:left w:val="nil"/>
              <w:bottom w:val="nil"/>
              <w:right w:val="nil"/>
            </w:tcBorders>
            <w:shd w:val="clear" w:color="auto" w:fill="68F394"/>
          </w:tcPr>
          <w:p w14:paraId="70CA70BC" w14:textId="77777777" w:rsidR="007D2814" w:rsidRDefault="007D2814"/>
        </w:tc>
        <w:tc>
          <w:tcPr>
            <w:tcW w:w="660" w:type="dxa"/>
            <w:tcBorders>
              <w:top w:val="nil"/>
              <w:left w:val="nil"/>
              <w:bottom w:val="nil"/>
              <w:right w:val="nil"/>
            </w:tcBorders>
          </w:tcPr>
          <w:p w14:paraId="2153D30F" w14:textId="77777777" w:rsidR="007D2814" w:rsidRDefault="007D2814"/>
        </w:tc>
        <w:tc>
          <w:tcPr>
            <w:tcW w:w="660" w:type="dxa"/>
            <w:tcBorders>
              <w:top w:val="nil"/>
              <w:left w:val="nil"/>
              <w:bottom w:val="nil"/>
              <w:right w:val="nil"/>
            </w:tcBorders>
          </w:tcPr>
          <w:p w14:paraId="27D4BC8B" w14:textId="77777777" w:rsidR="007D2814" w:rsidRDefault="007D2814"/>
        </w:tc>
      </w:tr>
      <w:tr w:rsidR="007D2814" w14:paraId="0AAB4113" w14:textId="77777777" w:rsidTr="004B3BAE">
        <w:tc>
          <w:tcPr>
            <w:tcW w:w="4782" w:type="dxa"/>
            <w:tcBorders>
              <w:top w:val="nil"/>
              <w:left w:val="nil"/>
              <w:bottom w:val="nil"/>
              <w:right w:val="nil"/>
            </w:tcBorders>
          </w:tcPr>
          <w:p w14:paraId="0D4B7A72" w14:textId="77777777" w:rsidR="007D2814" w:rsidRDefault="00DD102F">
            <w:pPr>
              <w:pStyle w:val="P68B1DB1-Normal12"/>
              <w:jc w:val="right"/>
              <w:rPr>
                <w:szCs w:val="16"/>
              </w:rPr>
            </w:pPr>
            <w:r>
              <w:t>Instituirea de instalații și programe de formare a instalatorilor de pompe de căldură</w:t>
            </w:r>
          </w:p>
        </w:tc>
        <w:tc>
          <w:tcPr>
            <w:tcW w:w="1308" w:type="dxa"/>
            <w:tcBorders>
              <w:top w:val="nil"/>
              <w:left w:val="nil"/>
              <w:bottom w:val="nil"/>
              <w:right w:val="nil"/>
            </w:tcBorders>
          </w:tcPr>
          <w:p w14:paraId="23A522E9" w14:textId="77777777" w:rsidR="007D2814" w:rsidRDefault="00DD102F">
            <w:pPr>
              <w:pStyle w:val="P68B1DB1-Normal12"/>
              <w:rPr>
                <w:szCs w:val="16"/>
              </w:rPr>
            </w:pPr>
            <w:r>
              <w:t>ENER</w:t>
            </w:r>
          </w:p>
        </w:tc>
        <w:tc>
          <w:tcPr>
            <w:tcW w:w="660" w:type="dxa"/>
            <w:tcBorders>
              <w:top w:val="nil"/>
              <w:left w:val="nil"/>
              <w:bottom w:val="nil"/>
              <w:right w:val="nil"/>
            </w:tcBorders>
          </w:tcPr>
          <w:p w14:paraId="113900AA" w14:textId="77777777" w:rsidR="007D2814" w:rsidRDefault="007D2814"/>
        </w:tc>
        <w:tc>
          <w:tcPr>
            <w:tcW w:w="660" w:type="dxa"/>
            <w:tcBorders>
              <w:top w:val="nil"/>
              <w:left w:val="nil"/>
              <w:bottom w:val="nil"/>
              <w:right w:val="nil"/>
            </w:tcBorders>
            <w:shd w:val="clear" w:color="auto" w:fill="68F394"/>
          </w:tcPr>
          <w:p w14:paraId="52DB4031" w14:textId="77777777" w:rsidR="007D2814" w:rsidRDefault="007D2814"/>
        </w:tc>
        <w:tc>
          <w:tcPr>
            <w:tcW w:w="660" w:type="dxa"/>
            <w:tcBorders>
              <w:top w:val="nil"/>
              <w:left w:val="nil"/>
              <w:bottom w:val="nil"/>
              <w:right w:val="nil"/>
            </w:tcBorders>
            <w:shd w:val="clear" w:color="auto" w:fill="68F394"/>
          </w:tcPr>
          <w:p w14:paraId="403A67C0" w14:textId="77777777" w:rsidR="007D2814" w:rsidRDefault="007D2814"/>
        </w:tc>
        <w:tc>
          <w:tcPr>
            <w:tcW w:w="660" w:type="dxa"/>
            <w:tcBorders>
              <w:top w:val="nil"/>
              <w:left w:val="nil"/>
              <w:bottom w:val="nil"/>
              <w:right w:val="nil"/>
            </w:tcBorders>
            <w:shd w:val="clear" w:color="auto" w:fill="68F394"/>
          </w:tcPr>
          <w:p w14:paraId="1BAB0353" w14:textId="77777777" w:rsidR="007D2814" w:rsidRDefault="007D2814"/>
        </w:tc>
      </w:tr>
      <w:tr w:rsidR="007D2814" w14:paraId="0F5504E2" w14:textId="77777777" w:rsidTr="004B3BAE">
        <w:tc>
          <w:tcPr>
            <w:tcW w:w="8730" w:type="dxa"/>
            <w:gridSpan w:val="6"/>
            <w:tcBorders>
              <w:top w:val="nil"/>
              <w:left w:val="nil"/>
              <w:bottom w:val="nil"/>
              <w:right w:val="nil"/>
            </w:tcBorders>
            <w:shd w:val="clear" w:color="auto" w:fill="E7E6E6" w:themeFill="background2"/>
          </w:tcPr>
          <w:p w14:paraId="66EC3909" w14:textId="77777777" w:rsidR="007D2814" w:rsidRDefault="00DD102F">
            <w:pPr>
              <w:pStyle w:val="P68B1DB1-Normal11"/>
              <w:rPr>
                <w:bCs/>
                <w:szCs w:val="18"/>
              </w:rPr>
            </w:pPr>
            <w:r>
              <w:t>Finanțarea tranziției</w:t>
            </w:r>
          </w:p>
        </w:tc>
      </w:tr>
      <w:tr w:rsidR="007D2814" w14:paraId="7110FDEA" w14:textId="77777777" w:rsidTr="004B3BAE">
        <w:tc>
          <w:tcPr>
            <w:tcW w:w="4782" w:type="dxa"/>
            <w:tcBorders>
              <w:top w:val="nil"/>
              <w:left w:val="nil"/>
              <w:bottom w:val="nil"/>
              <w:right w:val="nil"/>
            </w:tcBorders>
          </w:tcPr>
          <w:p w14:paraId="4BA91A2F" w14:textId="5B92A38E" w:rsidR="007D2814" w:rsidRDefault="00DD102F">
            <w:pPr>
              <w:pStyle w:val="P68B1DB1-Normal12"/>
              <w:jc w:val="right"/>
              <w:rPr>
                <w:szCs w:val="16"/>
              </w:rPr>
            </w:pPr>
            <w:r>
              <w:t>Evaluarea unui sistem de subvenții forfetare</w:t>
            </w:r>
          </w:p>
        </w:tc>
        <w:tc>
          <w:tcPr>
            <w:tcW w:w="1308" w:type="dxa"/>
            <w:tcBorders>
              <w:top w:val="nil"/>
              <w:left w:val="nil"/>
              <w:bottom w:val="nil"/>
              <w:right w:val="nil"/>
            </w:tcBorders>
          </w:tcPr>
          <w:p w14:paraId="315E4CE0" w14:textId="77777777" w:rsidR="007D2814" w:rsidRDefault="00DD102F">
            <w:pPr>
              <w:pStyle w:val="P68B1DB1-Normal12"/>
              <w:rPr>
                <w:szCs w:val="16"/>
              </w:rPr>
            </w:pPr>
            <w:r>
              <w:t>ENER</w:t>
            </w:r>
          </w:p>
        </w:tc>
        <w:tc>
          <w:tcPr>
            <w:tcW w:w="660" w:type="dxa"/>
            <w:tcBorders>
              <w:top w:val="nil"/>
              <w:left w:val="nil"/>
              <w:bottom w:val="nil"/>
              <w:right w:val="nil"/>
            </w:tcBorders>
            <w:shd w:val="clear" w:color="auto" w:fill="68F394"/>
          </w:tcPr>
          <w:p w14:paraId="09B7F203" w14:textId="77777777" w:rsidR="007D2814" w:rsidRDefault="00DD102F">
            <w:r>
              <w:t xml:space="preserve"> </w:t>
            </w:r>
          </w:p>
        </w:tc>
        <w:tc>
          <w:tcPr>
            <w:tcW w:w="660" w:type="dxa"/>
            <w:tcBorders>
              <w:top w:val="nil"/>
              <w:left w:val="nil"/>
              <w:bottom w:val="nil"/>
              <w:right w:val="nil"/>
            </w:tcBorders>
            <w:shd w:val="clear" w:color="auto" w:fill="68F394"/>
          </w:tcPr>
          <w:p w14:paraId="70CC1F40" w14:textId="77777777" w:rsidR="007D2814" w:rsidRDefault="007D2814"/>
        </w:tc>
        <w:tc>
          <w:tcPr>
            <w:tcW w:w="660" w:type="dxa"/>
            <w:tcBorders>
              <w:top w:val="nil"/>
              <w:left w:val="nil"/>
              <w:bottom w:val="nil"/>
              <w:right w:val="nil"/>
            </w:tcBorders>
          </w:tcPr>
          <w:p w14:paraId="61D7C2FF" w14:textId="77777777" w:rsidR="007D2814" w:rsidRDefault="007D2814"/>
        </w:tc>
        <w:tc>
          <w:tcPr>
            <w:tcW w:w="660" w:type="dxa"/>
            <w:tcBorders>
              <w:top w:val="nil"/>
              <w:left w:val="nil"/>
              <w:bottom w:val="nil"/>
              <w:right w:val="nil"/>
            </w:tcBorders>
          </w:tcPr>
          <w:p w14:paraId="2D60AE71" w14:textId="77777777" w:rsidR="007D2814" w:rsidRDefault="007D2814"/>
        </w:tc>
      </w:tr>
      <w:tr w:rsidR="007D2814" w14:paraId="3BDE570E" w14:textId="77777777" w:rsidTr="004B3BAE">
        <w:tc>
          <w:tcPr>
            <w:tcW w:w="4782" w:type="dxa"/>
            <w:tcBorders>
              <w:top w:val="nil"/>
              <w:left w:val="nil"/>
              <w:bottom w:val="nil"/>
              <w:right w:val="nil"/>
            </w:tcBorders>
          </w:tcPr>
          <w:p w14:paraId="33E9E42F" w14:textId="77777777" w:rsidR="007D2814" w:rsidRDefault="00DD102F">
            <w:pPr>
              <w:pStyle w:val="P68B1DB1-Normal12"/>
              <w:jc w:val="right"/>
              <w:rPr>
                <w:szCs w:val="16"/>
              </w:rPr>
            </w:pPr>
            <w:r>
              <w:t>Reducerea TVA la pompele de căldură la 5%</w:t>
            </w:r>
          </w:p>
        </w:tc>
        <w:tc>
          <w:tcPr>
            <w:tcW w:w="1308" w:type="dxa"/>
            <w:tcBorders>
              <w:top w:val="nil"/>
              <w:left w:val="nil"/>
              <w:bottom w:val="nil"/>
              <w:right w:val="nil"/>
            </w:tcBorders>
          </w:tcPr>
          <w:p w14:paraId="2EE3A163" w14:textId="77777777" w:rsidR="007D2814" w:rsidRDefault="00DD102F">
            <w:pPr>
              <w:pStyle w:val="P68B1DB1-Normal12"/>
              <w:rPr>
                <w:szCs w:val="16"/>
              </w:rPr>
            </w:pPr>
            <w:r>
              <w:t>ENER</w:t>
            </w:r>
          </w:p>
        </w:tc>
        <w:tc>
          <w:tcPr>
            <w:tcW w:w="660" w:type="dxa"/>
            <w:tcBorders>
              <w:top w:val="nil"/>
              <w:left w:val="nil"/>
              <w:bottom w:val="nil"/>
              <w:right w:val="nil"/>
            </w:tcBorders>
            <w:shd w:val="clear" w:color="auto" w:fill="68F394"/>
          </w:tcPr>
          <w:p w14:paraId="6DB32349" w14:textId="77777777" w:rsidR="007D2814" w:rsidRDefault="007D2814"/>
        </w:tc>
        <w:tc>
          <w:tcPr>
            <w:tcW w:w="660" w:type="dxa"/>
            <w:tcBorders>
              <w:top w:val="nil"/>
              <w:left w:val="nil"/>
              <w:bottom w:val="nil"/>
              <w:right w:val="nil"/>
            </w:tcBorders>
            <w:shd w:val="clear" w:color="auto" w:fill="68F394"/>
          </w:tcPr>
          <w:p w14:paraId="0C5D9CF0" w14:textId="77777777" w:rsidR="007D2814" w:rsidRDefault="007D2814"/>
        </w:tc>
        <w:tc>
          <w:tcPr>
            <w:tcW w:w="660" w:type="dxa"/>
            <w:tcBorders>
              <w:top w:val="nil"/>
              <w:left w:val="nil"/>
              <w:bottom w:val="nil"/>
              <w:right w:val="nil"/>
            </w:tcBorders>
          </w:tcPr>
          <w:p w14:paraId="7E5A4893" w14:textId="77777777" w:rsidR="007D2814" w:rsidRDefault="007D2814"/>
        </w:tc>
        <w:tc>
          <w:tcPr>
            <w:tcW w:w="660" w:type="dxa"/>
            <w:tcBorders>
              <w:top w:val="nil"/>
              <w:left w:val="nil"/>
              <w:bottom w:val="nil"/>
              <w:right w:val="nil"/>
            </w:tcBorders>
          </w:tcPr>
          <w:p w14:paraId="689F21BE" w14:textId="77777777" w:rsidR="007D2814" w:rsidRDefault="007D2814"/>
        </w:tc>
      </w:tr>
      <w:tr w:rsidR="007D2814" w14:paraId="39A21FE6" w14:textId="77777777" w:rsidTr="004B3BAE">
        <w:tc>
          <w:tcPr>
            <w:tcW w:w="8730" w:type="dxa"/>
            <w:gridSpan w:val="6"/>
            <w:tcBorders>
              <w:top w:val="nil"/>
              <w:left w:val="nil"/>
              <w:bottom w:val="nil"/>
              <w:right w:val="nil"/>
            </w:tcBorders>
            <w:shd w:val="clear" w:color="auto" w:fill="E7E6E6" w:themeFill="background2"/>
          </w:tcPr>
          <w:p w14:paraId="5BBE968A" w14:textId="77777777" w:rsidR="007D2814" w:rsidRDefault="00DD102F">
            <w:pPr>
              <w:pStyle w:val="P68B1DB1-Normal11"/>
              <w:rPr>
                <w:bCs/>
                <w:szCs w:val="18"/>
              </w:rPr>
            </w:pPr>
            <w:r>
              <w:t>Reglementarea sectorului</w:t>
            </w:r>
          </w:p>
        </w:tc>
      </w:tr>
      <w:tr w:rsidR="007D2814" w14:paraId="64C23939" w14:textId="77777777" w:rsidTr="004B3BAE">
        <w:tc>
          <w:tcPr>
            <w:tcW w:w="4782" w:type="dxa"/>
            <w:tcBorders>
              <w:top w:val="nil"/>
              <w:left w:val="nil"/>
              <w:bottom w:val="nil"/>
              <w:right w:val="nil"/>
            </w:tcBorders>
          </w:tcPr>
          <w:p w14:paraId="1BAE8662" w14:textId="58ADD87D" w:rsidR="007D2814" w:rsidRDefault="00DD102F">
            <w:pPr>
              <w:pStyle w:val="P68B1DB1-Normal12"/>
              <w:jc w:val="right"/>
              <w:rPr>
                <w:szCs w:val="16"/>
              </w:rPr>
            </w:pPr>
            <w:r>
              <w:t xml:space="preserve">Restricționarea </w:t>
            </w:r>
            <w:r w:rsidR="008E3CA2">
              <w:t xml:space="preserve">utilizării </w:t>
            </w:r>
            <w:r>
              <w:t>gazelor naturale și a biomasei în clădirile noi</w:t>
            </w:r>
          </w:p>
        </w:tc>
        <w:tc>
          <w:tcPr>
            <w:tcW w:w="1308" w:type="dxa"/>
            <w:tcBorders>
              <w:top w:val="nil"/>
              <w:left w:val="nil"/>
              <w:bottom w:val="nil"/>
              <w:right w:val="nil"/>
            </w:tcBorders>
          </w:tcPr>
          <w:p w14:paraId="1166308D" w14:textId="77777777" w:rsidR="007D2814" w:rsidRDefault="00DD102F">
            <w:pPr>
              <w:pStyle w:val="P68B1DB1-Normal12"/>
              <w:rPr>
                <w:szCs w:val="16"/>
              </w:rPr>
            </w:pPr>
            <w:r>
              <w:t>MIRD</w:t>
            </w:r>
          </w:p>
        </w:tc>
        <w:tc>
          <w:tcPr>
            <w:tcW w:w="660" w:type="dxa"/>
            <w:tcBorders>
              <w:top w:val="nil"/>
              <w:left w:val="nil"/>
              <w:bottom w:val="nil"/>
              <w:right w:val="nil"/>
            </w:tcBorders>
            <w:shd w:val="clear" w:color="auto" w:fill="68F394"/>
          </w:tcPr>
          <w:p w14:paraId="186147A0" w14:textId="77777777" w:rsidR="007D2814" w:rsidRDefault="007D2814"/>
        </w:tc>
        <w:tc>
          <w:tcPr>
            <w:tcW w:w="660" w:type="dxa"/>
            <w:tcBorders>
              <w:top w:val="nil"/>
              <w:left w:val="nil"/>
              <w:bottom w:val="nil"/>
              <w:right w:val="nil"/>
            </w:tcBorders>
            <w:shd w:val="clear" w:color="auto" w:fill="68F394"/>
          </w:tcPr>
          <w:p w14:paraId="670573A7" w14:textId="77777777" w:rsidR="007D2814" w:rsidRDefault="007D2814"/>
        </w:tc>
        <w:tc>
          <w:tcPr>
            <w:tcW w:w="660" w:type="dxa"/>
            <w:tcBorders>
              <w:top w:val="nil"/>
              <w:left w:val="nil"/>
              <w:bottom w:val="nil"/>
              <w:right w:val="nil"/>
            </w:tcBorders>
            <w:shd w:val="clear" w:color="auto" w:fill="68F394"/>
          </w:tcPr>
          <w:p w14:paraId="5732C627" w14:textId="77777777" w:rsidR="007D2814" w:rsidRDefault="007D2814"/>
        </w:tc>
        <w:tc>
          <w:tcPr>
            <w:tcW w:w="660" w:type="dxa"/>
            <w:tcBorders>
              <w:top w:val="nil"/>
              <w:left w:val="nil"/>
              <w:bottom w:val="nil"/>
              <w:right w:val="nil"/>
            </w:tcBorders>
            <w:shd w:val="clear" w:color="auto" w:fill="68F394"/>
          </w:tcPr>
          <w:p w14:paraId="51E8A301" w14:textId="77777777" w:rsidR="007D2814" w:rsidRDefault="007D2814"/>
        </w:tc>
      </w:tr>
      <w:tr w:rsidR="007D2814" w14:paraId="658EFD98" w14:textId="77777777" w:rsidTr="004B3BAE">
        <w:tc>
          <w:tcPr>
            <w:tcW w:w="4782" w:type="dxa"/>
            <w:tcBorders>
              <w:top w:val="nil"/>
              <w:left w:val="nil"/>
              <w:bottom w:val="nil"/>
              <w:right w:val="nil"/>
            </w:tcBorders>
          </w:tcPr>
          <w:p w14:paraId="0A1A3413" w14:textId="55E4DEAF" w:rsidR="007D2814" w:rsidRDefault="00DD102F" w:rsidP="008E3CA2">
            <w:pPr>
              <w:pStyle w:val="P68B1DB1-Normal12"/>
              <w:jc w:val="right"/>
              <w:rPr>
                <w:szCs w:val="16"/>
              </w:rPr>
            </w:pPr>
            <w:r>
              <w:lastRenderedPageBreak/>
              <w:t>Stabilirea unei date de eliminare treptată pentru cazanele</w:t>
            </w:r>
            <w:r w:rsidR="008E3CA2">
              <w:t xml:space="preserve"> pe gaze naturale utilizate î</w:t>
            </w:r>
            <w:r>
              <w:t>n clădirile existente</w:t>
            </w:r>
          </w:p>
        </w:tc>
        <w:tc>
          <w:tcPr>
            <w:tcW w:w="1308" w:type="dxa"/>
            <w:tcBorders>
              <w:top w:val="nil"/>
              <w:left w:val="nil"/>
              <w:bottom w:val="nil"/>
              <w:right w:val="nil"/>
            </w:tcBorders>
          </w:tcPr>
          <w:p w14:paraId="2A4C73C0" w14:textId="77777777" w:rsidR="007D2814" w:rsidRDefault="00DD102F">
            <w:pPr>
              <w:pStyle w:val="P68B1DB1-Normal12"/>
              <w:rPr>
                <w:szCs w:val="16"/>
              </w:rPr>
            </w:pPr>
            <w:r>
              <w:t>MIRD</w:t>
            </w:r>
          </w:p>
        </w:tc>
        <w:tc>
          <w:tcPr>
            <w:tcW w:w="660" w:type="dxa"/>
            <w:tcBorders>
              <w:top w:val="nil"/>
              <w:left w:val="nil"/>
              <w:bottom w:val="nil"/>
              <w:right w:val="nil"/>
            </w:tcBorders>
          </w:tcPr>
          <w:p w14:paraId="52016517" w14:textId="77777777" w:rsidR="007D2814" w:rsidRDefault="007D2814"/>
        </w:tc>
        <w:tc>
          <w:tcPr>
            <w:tcW w:w="660" w:type="dxa"/>
            <w:tcBorders>
              <w:top w:val="nil"/>
              <w:left w:val="nil"/>
              <w:bottom w:val="nil"/>
              <w:right w:val="nil"/>
            </w:tcBorders>
            <w:shd w:val="clear" w:color="auto" w:fill="68F394"/>
          </w:tcPr>
          <w:p w14:paraId="1A90031E" w14:textId="77777777" w:rsidR="007D2814" w:rsidRDefault="007D2814"/>
        </w:tc>
        <w:tc>
          <w:tcPr>
            <w:tcW w:w="660" w:type="dxa"/>
            <w:tcBorders>
              <w:top w:val="nil"/>
              <w:left w:val="nil"/>
              <w:bottom w:val="nil"/>
              <w:right w:val="nil"/>
            </w:tcBorders>
            <w:shd w:val="clear" w:color="auto" w:fill="68F394"/>
          </w:tcPr>
          <w:p w14:paraId="21D44E9F" w14:textId="77777777" w:rsidR="007D2814" w:rsidRDefault="007D2814"/>
        </w:tc>
        <w:tc>
          <w:tcPr>
            <w:tcW w:w="660" w:type="dxa"/>
            <w:tcBorders>
              <w:top w:val="nil"/>
              <w:left w:val="nil"/>
              <w:bottom w:val="nil"/>
              <w:right w:val="nil"/>
            </w:tcBorders>
            <w:shd w:val="clear" w:color="auto" w:fill="68F394"/>
          </w:tcPr>
          <w:p w14:paraId="68D8F07E" w14:textId="77777777" w:rsidR="007D2814" w:rsidRDefault="007D2814"/>
        </w:tc>
      </w:tr>
      <w:tr w:rsidR="007D2814" w14:paraId="1B9111D5" w14:textId="77777777" w:rsidTr="004B3BAE">
        <w:tc>
          <w:tcPr>
            <w:tcW w:w="4782" w:type="dxa"/>
            <w:tcBorders>
              <w:top w:val="nil"/>
              <w:left w:val="nil"/>
              <w:bottom w:val="nil"/>
              <w:right w:val="nil"/>
            </w:tcBorders>
          </w:tcPr>
          <w:p w14:paraId="39A398AB" w14:textId="23997606" w:rsidR="007D2814" w:rsidRDefault="00DD102F">
            <w:pPr>
              <w:pStyle w:val="P68B1DB1-Normal12"/>
              <w:jc w:val="right"/>
              <w:rPr>
                <w:szCs w:val="16"/>
              </w:rPr>
            </w:pPr>
            <w:r>
              <w:t>Luarea în considerare a unei restricții privind biomasa în clădirile existente din zonele urbane în care poluarea aerului poate fi semnificativă</w:t>
            </w:r>
          </w:p>
        </w:tc>
        <w:tc>
          <w:tcPr>
            <w:tcW w:w="1308" w:type="dxa"/>
            <w:tcBorders>
              <w:top w:val="nil"/>
              <w:left w:val="nil"/>
              <w:bottom w:val="nil"/>
              <w:right w:val="nil"/>
            </w:tcBorders>
          </w:tcPr>
          <w:p w14:paraId="5424B9E7" w14:textId="77777777" w:rsidR="007D2814" w:rsidRDefault="00DD102F">
            <w:pPr>
              <w:pStyle w:val="P68B1DB1-Normal12"/>
              <w:rPr>
                <w:szCs w:val="16"/>
              </w:rPr>
            </w:pPr>
            <w:r>
              <w:t>MIRD</w:t>
            </w:r>
          </w:p>
        </w:tc>
        <w:tc>
          <w:tcPr>
            <w:tcW w:w="660" w:type="dxa"/>
            <w:tcBorders>
              <w:top w:val="nil"/>
              <w:left w:val="nil"/>
              <w:bottom w:val="nil"/>
              <w:right w:val="nil"/>
            </w:tcBorders>
          </w:tcPr>
          <w:p w14:paraId="1FFCAE55" w14:textId="77777777" w:rsidR="007D2814" w:rsidRDefault="007D2814"/>
        </w:tc>
        <w:tc>
          <w:tcPr>
            <w:tcW w:w="660" w:type="dxa"/>
            <w:tcBorders>
              <w:top w:val="nil"/>
              <w:left w:val="nil"/>
              <w:bottom w:val="nil"/>
              <w:right w:val="nil"/>
            </w:tcBorders>
            <w:shd w:val="clear" w:color="auto" w:fill="68F394"/>
          </w:tcPr>
          <w:p w14:paraId="3BB8BD6F" w14:textId="77777777" w:rsidR="007D2814" w:rsidRDefault="007D2814"/>
        </w:tc>
        <w:tc>
          <w:tcPr>
            <w:tcW w:w="660" w:type="dxa"/>
            <w:tcBorders>
              <w:top w:val="nil"/>
              <w:left w:val="nil"/>
              <w:bottom w:val="nil"/>
              <w:right w:val="nil"/>
            </w:tcBorders>
            <w:shd w:val="clear" w:color="auto" w:fill="68F394"/>
          </w:tcPr>
          <w:p w14:paraId="39481AE6" w14:textId="77777777" w:rsidR="007D2814" w:rsidRDefault="007D2814"/>
        </w:tc>
        <w:tc>
          <w:tcPr>
            <w:tcW w:w="660" w:type="dxa"/>
            <w:tcBorders>
              <w:top w:val="nil"/>
              <w:left w:val="nil"/>
              <w:bottom w:val="nil"/>
              <w:right w:val="nil"/>
            </w:tcBorders>
            <w:shd w:val="clear" w:color="auto" w:fill="68F394"/>
          </w:tcPr>
          <w:p w14:paraId="1E3CBFA6" w14:textId="77777777" w:rsidR="007D2814" w:rsidRDefault="007D2814"/>
        </w:tc>
      </w:tr>
      <w:tr w:rsidR="007D2814" w14:paraId="1E16FD34" w14:textId="77777777" w:rsidTr="004B3BAE">
        <w:tc>
          <w:tcPr>
            <w:tcW w:w="4782" w:type="dxa"/>
            <w:tcBorders>
              <w:top w:val="nil"/>
              <w:left w:val="nil"/>
              <w:bottom w:val="nil"/>
              <w:right w:val="nil"/>
            </w:tcBorders>
          </w:tcPr>
          <w:p w14:paraId="2765D9A5" w14:textId="77777777" w:rsidR="007D2814" w:rsidRDefault="00DD102F">
            <w:pPr>
              <w:pStyle w:val="P68B1DB1-Normal12"/>
              <w:jc w:val="right"/>
              <w:rPr>
                <w:szCs w:val="16"/>
              </w:rPr>
            </w:pPr>
            <w:r>
              <w:t>Colectarea de date cuprinzătoare privind piața și industria pompelor de căldură, sursele regenerabile de energie pentru încălzire și parcul imobiliar</w:t>
            </w:r>
          </w:p>
        </w:tc>
        <w:tc>
          <w:tcPr>
            <w:tcW w:w="1308" w:type="dxa"/>
            <w:tcBorders>
              <w:top w:val="nil"/>
              <w:left w:val="nil"/>
              <w:bottom w:val="nil"/>
              <w:right w:val="nil"/>
            </w:tcBorders>
          </w:tcPr>
          <w:p w14:paraId="095B4A70" w14:textId="77777777" w:rsidR="007D2814" w:rsidRDefault="00DD102F">
            <w:pPr>
              <w:pStyle w:val="P68B1DB1-Normal12"/>
              <w:rPr>
                <w:szCs w:val="16"/>
              </w:rPr>
            </w:pPr>
            <w:r>
              <w:t>NBS</w:t>
            </w:r>
          </w:p>
        </w:tc>
        <w:tc>
          <w:tcPr>
            <w:tcW w:w="660" w:type="dxa"/>
            <w:tcBorders>
              <w:top w:val="nil"/>
              <w:left w:val="nil"/>
              <w:bottom w:val="nil"/>
              <w:right w:val="nil"/>
            </w:tcBorders>
          </w:tcPr>
          <w:p w14:paraId="0E4366B5" w14:textId="77777777" w:rsidR="007D2814" w:rsidRDefault="007D2814"/>
        </w:tc>
        <w:tc>
          <w:tcPr>
            <w:tcW w:w="660" w:type="dxa"/>
            <w:tcBorders>
              <w:top w:val="nil"/>
              <w:left w:val="nil"/>
              <w:bottom w:val="nil"/>
              <w:right w:val="nil"/>
            </w:tcBorders>
            <w:shd w:val="clear" w:color="auto" w:fill="68F394"/>
          </w:tcPr>
          <w:p w14:paraId="4AC7F430" w14:textId="77777777" w:rsidR="007D2814" w:rsidRDefault="007D2814"/>
        </w:tc>
        <w:tc>
          <w:tcPr>
            <w:tcW w:w="660" w:type="dxa"/>
            <w:tcBorders>
              <w:top w:val="nil"/>
              <w:left w:val="nil"/>
              <w:bottom w:val="nil"/>
              <w:right w:val="nil"/>
            </w:tcBorders>
            <w:shd w:val="clear" w:color="auto" w:fill="68F394"/>
          </w:tcPr>
          <w:p w14:paraId="73EFA562" w14:textId="77777777" w:rsidR="007D2814" w:rsidRDefault="007D2814"/>
        </w:tc>
        <w:tc>
          <w:tcPr>
            <w:tcW w:w="660" w:type="dxa"/>
            <w:tcBorders>
              <w:top w:val="nil"/>
              <w:left w:val="nil"/>
              <w:bottom w:val="nil"/>
              <w:right w:val="nil"/>
            </w:tcBorders>
            <w:shd w:val="clear" w:color="auto" w:fill="68F394"/>
          </w:tcPr>
          <w:p w14:paraId="4BA89989" w14:textId="77777777" w:rsidR="007D2814" w:rsidRDefault="007D2814"/>
        </w:tc>
      </w:tr>
    </w:tbl>
    <w:p w14:paraId="139FED0F" w14:textId="77777777" w:rsidR="007D2814" w:rsidRDefault="007D2814">
      <w:pPr>
        <w:pStyle w:val="Heading2"/>
        <w:sectPr w:rsidR="007D2814" w:rsidSect="0005467A">
          <w:headerReference w:type="default" r:id="rId176"/>
          <w:endnotePr>
            <w:numFmt w:val="decimal"/>
            <w:numRestart w:val="eachSect"/>
          </w:endnotePr>
          <w:pgSz w:w="11906" w:h="16838" w:code="9"/>
          <w:pgMar w:top="1588" w:right="1588" w:bottom="1588" w:left="1588" w:header="709" w:footer="709" w:gutter="0"/>
          <w:cols w:space="708"/>
          <w:docGrid w:linePitch="360"/>
        </w:sectPr>
      </w:pPr>
      <w:bookmarkStart w:id="84" w:name="_Toc198194997"/>
    </w:p>
    <w:p w14:paraId="55D612E8" w14:textId="25BA9226" w:rsidR="007D2814" w:rsidRDefault="00DD102F">
      <w:pPr>
        <w:pStyle w:val="Heading2"/>
      </w:pPr>
      <w:bookmarkStart w:id="85" w:name="_Toc201571411"/>
      <w:bookmarkEnd w:id="84"/>
      <w:r>
        <w:lastRenderedPageBreak/>
        <w:t>anexă</w:t>
      </w:r>
      <w:bookmarkEnd w:id="85"/>
      <w:r>
        <w:t xml:space="preserve"> </w:t>
      </w:r>
    </w:p>
    <w:p w14:paraId="53319D9F" w14:textId="3B480AE0" w:rsidR="007D2814" w:rsidRDefault="00DD102F">
      <w:pPr>
        <w:pStyle w:val="Heading3"/>
      </w:pPr>
      <w:r>
        <w:t xml:space="preserve">Metodologia costului total de proprietate </w:t>
      </w:r>
    </w:p>
    <w:p w14:paraId="3178BFE5" w14:textId="77777777" w:rsidR="007D2814" w:rsidRDefault="00DD102F">
      <w:pPr>
        <w:pStyle w:val="IEABodyText"/>
      </w:pPr>
      <w:r>
        <w:t>Calculele prezentate în acest raport arată costul total de proprietate pentru o pompă de căldură aer-apă, un cazan pe gaz și un cazan pe biomasă. Prezenta anexă explică metodologia care stă la baza ipotezelor și a calculelor.</w:t>
      </w:r>
    </w:p>
    <w:p w14:paraId="00667396" w14:textId="7CD768CD" w:rsidR="007D2814" w:rsidRDefault="00DD102F">
      <w:pPr>
        <w:pStyle w:val="IEABodyText"/>
      </w:pPr>
      <w:r>
        <w:t xml:space="preserve">Numerele cererii de spații rezidențiale și de încălzire a apei pentru 2023 au fost preluate din baza de date a Eurostat privind </w:t>
      </w:r>
      <w:hyperlink r:id="rId177" w:history="1">
        <w:r>
          <w:rPr>
            <w:rStyle w:val="Hyperlink"/>
          </w:rPr>
          <w:t>consumul final de energie al gospodăriilor (defalcat).</w:t>
        </w:r>
      </w:hyperlink>
      <w:r>
        <w:t xml:space="preserve"> Cererea medie de încălzire a spațiului pe țară a fost împărțită la numărul de gospodării (1,08 milioane), pentru a ajunge la o cerere medie de încălzire a spațiului și a apei pe gospodărie în Moldova.</w:t>
      </w:r>
    </w:p>
    <w:p w14:paraId="756CE83A" w14:textId="77777777" w:rsidR="007D2814" w:rsidRDefault="00DD102F">
      <w:pPr>
        <w:pStyle w:val="Heading4"/>
      </w:pPr>
      <w:r>
        <w:t>Caracteristicile dispozitivului</w:t>
      </w:r>
    </w:p>
    <w:p w14:paraId="6E15F5C0" w14:textId="77777777" w:rsidR="007D2814" w:rsidRDefault="00DD102F">
      <w:pPr>
        <w:rPr>
          <w:rFonts w:ascii="Times New Roman" w:hAnsi="Times New Roman"/>
          <w:sz w:val="24"/>
        </w:rPr>
      </w:pPr>
      <w:r>
        <w:t>Pentru fiecare tehnologie, s-au presupus următoarele creșteri ale eficienței conversiei:  </w:t>
      </w:r>
    </w:p>
    <w:p w14:paraId="5B81B891" w14:textId="77777777" w:rsidR="007D2814" w:rsidRDefault="00DD102F">
      <w:pPr>
        <w:pStyle w:val="IEABodyBulletTextlevel1"/>
        <w:rPr>
          <w:rFonts w:eastAsia="Times New Roman"/>
        </w:rPr>
      </w:pPr>
      <w:r>
        <w:t>Pompă de căldură aer-apă cu un coeficient de performanță sezonier (SCOP) de 3,1. </w:t>
      </w:r>
    </w:p>
    <w:p w14:paraId="1A926938" w14:textId="3412D2AF" w:rsidR="007D2814" w:rsidRDefault="00DD102F">
      <w:pPr>
        <w:pStyle w:val="IEABodyBulletTextlevel1"/>
      </w:pPr>
      <w:r>
        <w:t xml:space="preserve">Cazan </w:t>
      </w:r>
      <w:r w:rsidR="008E3CA2">
        <w:t xml:space="preserve">pe </w:t>
      </w:r>
      <w:r>
        <w:t>gaz</w:t>
      </w:r>
      <w:r w:rsidR="008E3CA2">
        <w:t>e natuarle</w:t>
      </w:r>
      <w:r>
        <w:t xml:space="preserve"> condensat cu o eficiență de 95%. </w:t>
      </w:r>
    </w:p>
    <w:p w14:paraId="7DDB5B50" w14:textId="77777777" w:rsidR="007D2814" w:rsidRDefault="00DD102F">
      <w:pPr>
        <w:pStyle w:val="IEABodyBulletTextlevel1"/>
      </w:pPr>
      <w:r>
        <w:t>Cazan pe biomasă (eficiență presupusă a flotei) de 75%.</w:t>
      </w:r>
    </w:p>
    <w:p w14:paraId="634B0153" w14:textId="1A305665" w:rsidR="007D2814" w:rsidRDefault="00DD102F">
      <w:pPr>
        <w:pStyle w:val="IEABodyText"/>
      </w:pPr>
      <w:r>
        <w:t xml:space="preserve">Aceste creșteri ale eficienței sunt acceptate în mare măsură ca standarde industriale și pot chiar să diminueze performanța pompelor de căldură. De exemplu, </w:t>
      </w:r>
      <w:hyperlink r:id="rId178" w:history="1">
        <w:r>
          <w:rPr>
            <w:rStyle w:val="Hyperlink"/>
          </w:rPr>
          <w:t>Autoritatea pentru Energie Durabilă din Irlanda a</w:t>
        </w:r>
      </w:hyperlink>
      <w:r>
        <w:t xml:space="preserve"> raportat o valoare mediană a SCOP de 3,95 în 2020, iar Danemarca și Țările de Jos au înregistrat o valoare a SCOP de peste 4.</w:t>
      </w:r>
    </w:p>
    <w:p w14:paraId="4F7EB155" w14:textId="7F098B6E" w:rsidR="007D2814" w:rsidRDefault="00DD102F">
      <w:pPr>
        <w:pStyle w:val="IEABodyText"/>
      </w:pPr>
      <w:r>
        <w:t xml:space="preserve">Valoarea eficienței utilizată în acest studiu poate fi, de asemenea, generoasă față de cazanele pe gaz, având în vedere că aceasta corespunde minimului definit </w:t>
      </w:r>
      <w:hyperlink r:id="rId179" w:history="1">
        <w:r>
          <w:rPr>
            <w:rStyle w:val="Hyperlink"/>
          </w:rPr>
          <w:t>în apendicele X la nota orientativă a Comisiei Europene referitoare la Directiva privind eficiența energetică.</w:t>
        </w:r>
      </w:hyperlink>
      <w:r>
        <w:t xml:space="preserve"> Flota existentă de cazane din Moldova nu este alcătuită exclusiv din unitățile cele mai eficiente din punct de vedere energetic și, prin urmare, ar funcționa probabil la o eficiență a flotei cu mult sub 95 %.</w:t>
      </w:r>
    </w:p>
    <w:p w14:paraId="4A65DE19" w14:textId="77777777" w:rsidR="007D2814" w:rsidRDefault="00DD102F">
      <w:pPr>
        <w:pStyle w:val="Heading4"/>
      </w:pPr>
      <w:r>
        <w:t>Costuri de capital</w:t>
      </w:r>
    </w:p>
    <w:p w14:paraId="41064537" w14:textId="77777777" w:rsidR="007D2814" w:rsidRDefault="00DD102F">
      <w:pPr>
        <w:pStyle w:val="IEABodyText"/>
      </w:pPr>
      <w:r>
        <w:t xml:space="preserve">Calculul pentru fiecare tehnologie constă într-o componentă a costului de capital și o componentă a costului de exploatare. În ceea ce privește costurile inițiale, au fost utilizate valorile furnizate de părțile interesate locale. Aceste valori au fost de 100 000 MDL (5 120 EUR) pentru o pompă de căldură aer-apă; 30 000 MDL (1 536 EUR) pentru un cazan pe gaz în condensare și 57 500 MDL (2 950 EUR) pentru un cazan pe biomasă. O subvenție de 50 % pentru o locuință unifamilială </w:t>
      </w:r>
      <w:r>
        <w:lastRenderedPageBreak/>
        <w:t>a fost aplicată atât pompei de căldură (2 560 EUR), cât și cazanului pe bază de biomasă (1 472 EUR), astfel cum a fost furnizată de Fondul rezidențial pentru eficiență energetică. Nu s-a aplicat nicio subvenție cazanului pe gaz.</w:t>
      </w:r>
    </w:p>
    <w:p w14:paraId="289A2A8B" w14:textId="77777777" w:rsidR="007D2814" w:rsidRDefault="00DD102F">
      <w:pPr>
        <w:pStyle w:val="Heading4"/>
      </w:pPr>
      <w:r>
        <w:t>Cheltuieli de funcționare</w:t>
      </w:r>
    </w:p>
    <w:p w14:paraId="31445F90" w14:textId="13ABC481" w:rsidR="007D2814" w:rsidRDefault="00DD102F">
      <w:pPr>
        <w:pStyle w:val="IEABodyText"/>
      </w:pPr>
      <w:r>
        <w:t xml:space="preserve">În ceea ce privește costurile de exploatare, prețul combustibilului joacă cel mai mare rol. Prețurile </w:t>
      </w:r>
      <w:hyperlink r:id="rId180" w:history="1">
        <w:r>
          <w:rPr>
            <w:rStyle w:val="Hyperlink"/>
          </w:rPr>
          <w:t>energiei electrice</w:t>
        </w:r>
      </w:hyperlink>
      <w:r>
        <w:t xml:space="preserve"> și </w:t>
      </w:r>
      <w:hyperlink r:id="rId181" w:history="1">
        <w:r>
          <w:rPr>
            <w:rStyle w:val="Hyperlink"/>
          </w:rPr>
          <w:t>ale gazelor naturale</w:t>
        </w:r>
      </w:hyperlink>
      <w:r>
        <w:t xml:space="preserve"> utilizate în prezentul document au fost preluate din decizia privind prețurile reglementate din 3 ianuarie 2025 și confirmate cu părțile interesate locale. Acestea au fost 4 920 MDL/MWh (252 EUR/MWh) și respectiv 16,74 MDL/m3 (0,86 EUR/m3). S-a presupus </w:t>
      </w:r>
      <w:hyperlink r:id="rId182" w:history="1">
        <w:r>
          <w:rPr>
            <w:rStyle w:val="Hyperlink"/>
          </w:rPr>
          <w:t>un preț al biomasei</w:t>
        </w:r>
      </w:hyperlink>
      <w:r>
        <w:t xml:space="preserve"> de 4 600 MDL/tonă (236 EUR/tonă), conform recomandărilor părților interesate locale. </w:t>
      </w:r>
      <w:r w:rsidRPr="004B3BAE">
        <w:t>Un nivel al TVA de 20 %</w:t>
      </w:r>
      <w:r w:rsidR="004B3BAE">
        <w:t xml:space="preserve"> (consumatori noncasnici)</w:t>
      </w:r>
      <w:r>
        <w:t xml:space="preserve"> a fost aplicat energiei electrice și biomasei, în timp ce o cotă de 8 % a fost aplicată gazelor naturale.</w:t>
      </w:r>
    </w:p>
    <w:p w14:paraId="1611FE01" w14:textId="2675670A" w:rsidR="007D2814" w:rsidRDefault="00DD102F">
      <w:pPr>
        <w:pStyle w:val="Heading3"/>
      </w:pPr>
      <w:bookmarkStart w:id="86" w:name="_Toc6473153"/>
      <w:bookmarkStart w:id="87" w:name="_Toc31878834"/>
      <w:r>
        <w:t>Abrevieri și acronime</w:t>
      </w:r>
      <w:bookmarkEnd w:id="86"/>
      <w:bookmarkEnd w:id="87"/>
    </w:p>
    <w:p w14:paraId="4B4A1859" w14:textId="77777777" w:rsidR="007D2814" w:rsidRDefault="007D2814"/>
    <w:p w14:paraId="7494D9B5" w14:textId="6A1EED20" w:rsidR="007D2814" w:rsidRDefault="00DD102F">
      <w:pPr>
        <w:pStyle w:val="IEAAbbreviations"/>
      </w:pPr>
      <w:r>
        <w:t>ANRE</w:t>
      </w:r>
      <w:r>
        <w:tab/>
      </w:r>
      <w:r>
        <w:tab/>
        <w:t>Agenția Națională pentru Reglementare în Energetică</w:t>
      </w:r>
    </w:p>
    <w:p w14:paraId="0D70EA9F" w14:textId="5CBF98F9" w:rsidR="007D2814" w:rsidRDefault="00DD102F">
      <w:pPr>
        <w:pStyle w:val="IEAAbbreviations"/>
      </w:pPr>
      <w:r>
        <w:t>C</w:t>
      </w:r>
      <w:r w:rsidR="008E3CA2">
        <w:t>ET</w:t>
      </w:r>
      <w:r>
        <w:tab/>
      </w:r>
      <w:r>
        <w:tab/>
        <w:t>cogenerare de energie termică și electrică</w:t>
      </w:r>
    </w:p>
    <w:p w14:paraId="3FE57E99" w14:textId="247B5F42" w:rsidR="007D2814" w:rsidRDefault="00DD102F">
      <w:pPr>
        <w:pStyle w:val="IEAAbbreviations"/>
      </w:pPr>
      <w:r>
        <w:t>CO</w:t>
      </w:r>
      <w:r>
        <w:rPr>
          <w:vertAlign w:val="subscript"/>
        </w:rPr>
        <w:t>2</w:t>
      </w:r>
      <w:r>
        <w:tab/>
      </w:r>
      <w:r>
        <w:tab/>
        <w:t>dioxid de carbon</w:t>
      </w:r>
    </w:p>
    <w:p w14:paraId="61D39A4B" w14:textId="21C81639" w:rsidR="007D2814" w:rsidRDefault="00DD102F">
      <w:pPr>
        <w:pStyle w:val="IEAAbbreviations"/>
      </w:pPr>
      <w:r>
        <w:t>COP</w:t>
      </w:r>
      <w:r>
        <w:tab/>
      </w:r>
      <w:r>
        <w:tab/>
        <w:t xml:space="preserve">coeficientul de performanță </w:t>
      </w:r>
    </w:p>
    <w:p w14:paraId="34F0C77E" w14:textId="77777777" w:rsidR="007D2814" w:rsidRDefault="00DD102F">
      <w:pPr>
        <w:pStyle w:val="IEAAbbreviations"/>
      </w:pPr>
      <w:r>
        <w:t>DEE</w:t>
      </w:r>
      <w:r>
        <w:tab/>
      </w:r>
      <w:r>
        <w:tab/>
        <w:t>Directiva privind eficiența energetică</w:t>
      </w:r>
    </w:p>
    <w:p w14:paraId="50CBC927" w14:textId="37210124" w:rsidR="007D2814" w:rsidRDefault="00DD102F">
      <w:pPr>
        <w:pStyle w:val="IEAAbbreviations"/>
      </w:pPr>
      <w:r>
        <w:t>TEE</w:t>
      </w:r>
      <w:r>
        <w:tab/>
      </w:r>
      <w:r>
        <w:tab/>
        <w:t>obligația de eficiență energetică</w:t>
      </w:r>
    </w:p>
    <w:p w14:paraId="607E1762" w14:textId="0B25B3F3" w:rsidR="007D2814" w:rsidRDefault="00DD102F">
      <w:pPr>
        <w:pStyle w:val="IEAAbbreviations"/>
      </w:pPr>
      <w:r>
        <w:t>ENER</w:t>
      </w:r>
      <w:r>
        <w:tab/>
      </w:r>
      <w:r>
        <w:tab/>
        <w:t>Ministerul Energiei</w:t>
      </w:r>
    </w:p>
    <w:p w14:paraId="0DD31501" w14:textId="4F70ECCB" w:rsidR="007D2814" w:rsidRDefault="00715FB7">
      <w:pPr>
        <w:pStyle w:val="IEAAbbreviations"/>
      </w:pPr>
      <w:r>
        <w:t>MM</w:t>
      </w:r>
      <w:r w:rsidR="00DD102F">
        <w:tab/>
      </w:r>
      <w:r w:rsidR="00DD102F">
        <w:tab/>
        <w:t>Ministerul Mediului</w:t>
      </w:r>
    </w:p>
    <w:p w14:paraId="75D96E19" w14:textId="2F14E7B2" w:rsidR="007D2814" w:rsidRDefault="00DD102F">
      <w:pPr>
        <w:pStyle w:val="IEAAbbreviations"/>
      </w:pPr>
      <w:r>
        <w:t>EPBD</w:t>
      </w:r>
      <w:r>
        <w:tab/>
      </w:r>
      <w:r>
        <w:tab/>
        <w:t>Directiva privind performanța energetică a clădirilor</w:t>
      </w:r>
    </w:p>
    <w:p w14:paraId="10CAE7C9" w14:textId="3CBEF381" w:rsidR="007D2814" w:rsidRDefault="00DD102F">
      <w:pPr>
        <w:pStyle w:val="IEAAbbreviations"/>
      </w:pPr>
      <w:r>
        <w:t>ESCO</w:t>
      </w:r>
      <w:r>
        <w:tab/>
      </w:r>
      <w:r>
        <w:tab/>
        <w:t>societate de servicii energetice</w:t>
      </w:r>
    </w:p>
    <w:p w14:paraId="35AFA42D" w14:textId="6951585F" w:rsidR="007D2814" w:rsidRDefault="00DD102F">
      <w:pPr>
        <w:pStyle w:val="IEAAbbreviations"/>
      </w:pPr>
      <w:r>
        <w:t>ETS2</w:t>
      </w:r>
      <w:r>
        <w:tab/>
      </w:r>
      <w:r>
        <w:tab/>
        <w:t>Sistemul UE de comercializare a certificatelor de emisii extins la clădiri și transporturi</w:t>
      </w:r>
    </w:p>
    <w:p w14:paraId="7F6536A0" w14:textId="4734D288" w:rsidR="007D2814" w:rsidRDefault="00DD102F">
      <w:pPr>
        <w:pStyle w:val="IEAAbbreviations"/>
      </w:pPr>
      <w:r>
        <w:t>EUR</w:t>
      </w:r>
      <w:r>
        <w:tab/>
      </w:r>
      <w:r>
        <w:tab/>
        <w:t>euro</w:t>
      </w:r>
    </w:p>
    <w:p w14:paraId="0E62AF54" w14:textId="417FA698" w:rsidR="007D2814" w:rsidRDefault="00DD102F">
      <w:pPr>
        <w:pStyle w:val="IEAAbbreviations"/>
      </w:pPr>
      <w:r>
        <w:t>GEFF</w:t>
      </w:r>
      <w:r>
        <w:tab/>
      </w:r>
      <w:r>
        <w:tab/>
        <w:t>Mecanismul de finanțare a economiei verzi</w:t>
      </w:r>
    </w:p>
    <w:p w14:paraId="5DB694C0" w14:textId="732F4AFD" w:rsidR="007D2814" w:rsidRDefault="00DD102F">
      <w:pPr>
        <w:pStyle w:val="IEAAbbreviations"/>
      </w:pPr>
      <w:r>
        <w:t>LULUCF</w:t>
      </w:r>
      <w:r>
        <w:tab/>
        <w:t>exploatarea terenurilor, schimbarea destinației terenurilor și silvicultura</w:t>
      </w:r>
    </w:p>
    <w:p w14:paraId="4A131FB7" w14:textId="47F13024" w:rsidR="007D2814" w:rsidRDefault="00DD102F">
      <w:pPr>
        <w:pStyle w:val="IEAAbbreviations"/>
      </w:pPr>
      <w:r>
        <w:t>MDL</w:t>
      </w:r>
      <w:r>
        <w:tab/>
      </w:r>
      <w:r>
        <w:tab/>
        <w:t>Leul moldovenesc</w:t>
      </w:r>
    </w:p>
    <w:p w14:paraId="2753FE1D" w14:textId="04B5EA43" w:rsidR="007D2814" w:rsidRDefault="00DD102F">
      <w:pPr>
        <w:pStyle w:val="IEAAbbreviations"/>
      </w:pPr>
      <w:r>
        <w:t>MEPS</w:t>
      </w:r>
      <w:r>
        <w:tab/>
      </w:r>
      <w:r>
        <w:tab/>
        <w:t>standarde minime de performanță energetică</w:t>
      </w:r>
    </w:p>
    <w:p w14:paraId="677E38D5" w14:textId="138D5D64" w:rsidR="007D2814" w:rsidRDefault="00DD102F">
      <w:pPr>
        <w:pStyle w:val="IEAAbbreviations"/>
      </w:pPr>
      <w:r>
        <w:t>MGRES</w:t>
      </w:r>
      <w:r>
        <w:tab/>
        <w:t>Centrala</w:t>
      </w:r>
      <w:r w:rsidR="004B3BAE">
        <w:t xml:space="preserve"> </w:t>
      </w:r>
      <w:r w:rsidR="008E3CA2">
        <w:t>termo</w:t>
      </w:r>
      <w:r w:rsidR="004B3BAE">
        <w:t xml:space="preserve"> </w:t>
      </w:r>
      <w:r>
        <w:t>electrică Moldavskaya GRES</w:t>
      </w:r>
    </w:p>
    <w:p w14:paraId="465A7AD6" w14:textId="010390C9" w:rsidR="007D2814" w:rsidRDefault="00DD102F">
      <w:pPr>
        <w:pStyle w:val="IEAAbbreviations"/>
      </w:pPr>
      <w:r>
        <w:t>MIRD</w:t>
      </w:r>
      <w:r>
        <w:tab/>
      </w:r>
      <w:r>
        <w:tab/>
        <w:t>Ministerul Infrastructurii și Dezvoltării Regionale</w:t>
      </w:r>
    </w:p>
    <w:p w14:paraId="31B9D687" w14:textId="00E129ED" w:rsidR="007D2814" w:rsidRDefault="00DD102F">
      <w:pPr>
        <w:pStyle w:val="IEAAbbreviations"/>
      </w:pPr>
      <w:r>
        <w:t>MWh</w:t>
      </w:r>
      <w:r>
        <w:tab/>
      </w:r>
      <w:r>
        <w:tab/>
        <w:t>megawatt-oră</w:t>
      </w:r>
    </w:p>
    <w:p w14:paraId="28CD6ED5" w14:textId="28E45158" w:rsidR="007D2814" w:rsidRDefault="00DD102F">
      <w:pPr>
        <w:pStyle w:val="IEAAbbreviations"/>
      </w:pPr>
      <w:r>
        <w:t>NAMA</w:t>
      </w:r>
      <w:r>
        <w:tab/>
      </w:r>
      <w:r>
        <w:tab/>
        <w:t>măsuri de atenuare adecvate la nivel național</w:t>
      </w:r>
    </w:p>
    <w:p w14:paraId="66BDA646" w14:textId="1AC23535" w:rsidR="007D2814" w:rsidRDefault="00DD102F">
      <w:pPr>
        <w:pStyle w:val="IEAAbbreviations"/>
      </w:pPr>
      <w:r>
        <w:t>NARD</w:t>
      </w:r>
      <w:r>
        <w:tab/>
      </w:r>
      <w:r>
        <w:tab/>
        <w:t>Agenția Națională pentru Cercetare și Dezvoltare</w:t>
      </w:r>
    </w:p>
    <w:p w14:paraId="09727105" w14:textId="0D05FAF2" w:rsidR="007D2814" w:rsidRDefault="00DD102F">
      <w:pPr>
        <w:pStyle w:val="IEAAbbreviations"/>
      </w:pPr>
      <w:r>
        <w:t>NBS</w:t>
      </w:r>
      <w:r>
        <w:tab/>
      </w:r>
      <w:r>
        <w:tab/>
        <w:t>Biroul Național de Statistică</w:t>
      </w:r>
    </w:p>
    <w:p w14:paraId="6D006564" w14:textId="1DC8F8D6" w:rsidR="007D2814" w:rsidRDefault="008E3CA2">
      <w:pPr>
        <w:pStyle w:val="IEAAbbreviations"/>
      </w:pPr>
      <w:r>
        <w:t>CNED</w:t>
      </w:r>
      <w:r w:rsidR="00DD102F">
        <w:tab/>
      </w:r>
      <w:r w:rsidR="00DD102F">
        <w:tab/>
        <w:t>Centrul Național pentru Energie Durabilă</w:t>
      </w:r>
    </w:p>
    <w:p w14:paraId="200B70BE" w14:textId="6B970666" w:rsidR="007D2814" w:rsidRDefault="00DD102F">
      <w:pPr>
        <w:pStyle w:val="IEAAbbreviations"/>
      </w:pPr>
      <w:r>
        <w:t>PNEC</w:t>
      </w:r>
      <w:r>
        <w:tab/>
      </w:r>
      <w:r>
        <w:tab/>
        <w:t>Planul național privind energia și clima</w:t>
      </w:r>
    </w:p>
    <w:p w14:paraId="19BF161A" w14:textId="58EA41D1" w:rsidR="007D2814" w:rsidRDefault="00DD102F">
      <w:pPr>
        <w:pStyle w:val="IEAAbbreviations"/>
      </w:pPr>
      <w:r>
        <w:t>PJ</w:t>
      </w:r>
      <w:r>
        <w:tab/>
      </w:r>
      <w:r>
        <w:tab/>
        <w:t>petajouli</w:t>
      </w:r>
    </w:p>
    <w:p w14:paraId="4AB28B2B" w14:textId="3939C8C0" w:rsidR="007D2814" w:rsidRDefault="00DD102F">
      <w:pPr>
        <w:pStyle w:val="IEAAbbreviations"/>
      </w:pPr>
      <w:r>
        <w:lastRenderedPageBreak/>
        <w:t>PM2,5</w:t>
      </w:r>
      <w:r>
        <w:tab/>
      </w:r>
      <w:r>
        <w:tab/>
        <w:t>particule atmosferice cu un diametru de 2,5 micrometri sau mai mic</w:t>
      </w:r>
    </w:p>
    <w:p w14:paraId="752D3CAD" w14:textId="241C5D0C" w:rsidR="007D2814" w:rsidRDefault="00DD102F">
      <w:pPr>
        <w:pStyle w:val="IEAAbbreviations"/>
      </w:pPr>
      <w:r>
        <w:t>ROȘU</w:t>
      </w:r>
      <w:r>
        <w:tab/>
      </w:r>
      <w:r>
        <w:tab/>
        <w:t>Directiva privind energia din surse regenerabile</w:t>
      </w:r>
    </w:p>
    <w:p w14:paraId="44B785B9" w14:textId="0EBB59A8" w:rsidR="007D2814" w:rsidRDefault="00DD102F">
      <w:pPr>
        <w:pStyle w:val="IEAAbbreviations"/>
      </w:pPr>
      <w:r>
        <w:t>REEF</w:t>
      </w:r>
      <w:r>
        <w:tab/>
      </w:r>
      <w:r>
        <w:tab/>
        <w:t>Fondul pentru Eficiență Energetică Rezidențială</w:t>
      </w:r>
    </w:p>
    <w:p w14:paraId="347127DC" w14:textId="05B947AB" w:rsidR="007D2814" w:rsidRDefault="00DD102F">
      <w:pPr>
        <w:pStyle w:val="IEAAbbreviations"/>
      </w:pPr>
      <w:r>
        <w:t>TCO</w:t>
      </w:r>
      <w:r>
        <w:tab/>
      </w:r>
      <w:r>
        <w:tab/>
        <w:t>costul total de proprietate</w:t>
      </w:r>
    </w:p>
    <w:p w14:paraId="6A315AA6" w14:textId="6C62BDE9" w:rsidR="007D2814" w:rsidRDefault="00DD102F">
      <w:pPr>
        <w:pStyle w:val="IEAAbbreviations"/>
      </w:pPr>
      <w:r>
        <w:t>TFC</w:t>
      </w:r>
      <w:r>
        <w:tab/>
      </w:r>
      <w:r>
        <w:tab/>
        <w:t>consumul final total</w:t>
      </w:r>
    </w:p>
    <w:p w14:paraId="1AD97826" w14:textId="5B220CFD" w:rsidR="007D2814" w:rsidRDefault="00DD102F">
      <w:pPr>
        <w:pStyle w:val="IEAAbbreviations"/>
      </w:pPr>
      <w:r>
        <w:t>USD</w:t>
      </w:r>
      <w:r>
        <w:tab/>
      </w:r>
      <w:r>
        <w:tab/>
        <w:t>Dolari americani</w:t>
      </w:r>
    </w:p>
    <w:p w14:paraId="2AFB70B9" w14:textId="15764246" w:rsidR="007D2814" w:rsidRDefault="00DD102F">
      <w:pPr>
        <w:pStyle w:val="IEAAbbreviations"/>
      </w:pPr>
      <w:r>
        <w:t>TVA</w:t>
      </w:r>
      <w:r>
        <w:tab/>
      </w:r>
      <w:r>
        <w:tab/>
        <w:t>taxa pe valoarea adăugată</w:t>
      </w:r>
    </w:p>
    <w:p w14:paraId="1C77576B" w14:textId="77777777" w:rsidR="007D2814" w:rsidRDefault="007D2814">
      <w:pPr>
        <w:pStyle w:val="IEABodyText"/>
        <w:sectPr w:rsidR="007D2814" w:rsidSect="007D4BD2">
          <w:headerReference w:type="default" r:id="rId183"/>
          <w:endnotePr>
            <w:numFmt w:val="decimal"/>
            <w:numRestart w:val="eachSect"/>
          </w:endnotePr>
          <w:pgSz w:w="11906" w:h="16838" w:code="9"/>
          <w:pgMar w:top="1588" w:right="1588" w:bottom="1588" w:left="1588" w:header="709" w:footer="709" w:gutter="0"/>
          <w:cols w:space="708"/>
          <w:docGrid w:linePitch="360"/>
        </w:sectPr>
      </w:pPr>
    </w:p>
    <w:p w14:paraId="29616223" w14:textId="77777777" w:rsidR="007D2814" w:rsidRDefault="007D2814">
      <w:pPr>
        <w:pStyle w:val="IEABodyText"/>
      </w:pPr>
    </w:p>
    <w:p w14:paraId="17FEB062" w14:textId="77777777" w:rsidR="007D2814" w:rsidRDefault="007D2814">
      <w:pPr>
        <w:pStyle w:val="IEABodyText"/>
      </w:pPr>
    </w:p>
    <w:p w14:paraId="20C16703" w14:textId="77777777" w:rsidR="007D2814" w:rsidRDefault="007D2814">
      <w:pPr>
        <w:pStyle w:val="IEABodyText"/>
      </w:pPr>
    </w:p>
    <w:p w14:paraId="3699958A" w14:textId="77777777" w:rsidR="007D2814" w:rsidRDefault="007D2814">
      <w:pPr>
        <w:pStyle w:val="IEABodyText"/>
      </w:pPr>
    </w:p>
    <w:p w14:paraId="3D0A927E" w14:textId="77777777" w:rsidR="007D2814" w:rsidRDefault="007D2814">
      <w:pPr>
        <w:pStyle w:val="IEABodyText"/>
      </w:pPr>
    </w:p>
    <w:p w14:paraId="59A2D0ED" w14:textId="77777777" w:rsidR="007D2814" w:rsidRDefault="007D2814">
      <w:pPr>
        <w:pStyle w:val="IEABodyText"/>
      </w:pPr>
    </w:p>
    <w:p w14:paraId="5635F62E" w14:textId="77777777" w:rsidR="007D2814" w:rsidRDefault="00DD102F">
      <w:pPr>
        <w:pStyle w:val="IEABodyText"/>
      </w:pPr>
      <w:r>
        <w:t>Agenția Internațională a Energiei (AIE)</w:t>
      </w:r>
    </w:p>
    <w:p w14:paraId="6F3213A2" w14:textId="47F9BC27" w:rsidR="007D2814" w:rsidRDefault="00DD102F">
      <w:pPr>
        <w:pStyle w:val="IEABodyText"/>
      </w:pPr>
      <w:r>
        <w:t xml:space="preserve">Această activitate reflectă punctele de vedere ale secretariatului AIE, dar nu le reflectă neapărat pe cele ale țărilor membre individuale ale AIE sau ale oricărui finanțator sau colaborator anume. Activitatea nu constituie consiliere profesională cu privire la nicio problemă sau situație specifică. AIE nu face nicio declarație sau garanție, expresă sau implicită, în ceea ce privește conținutul lucrării (inclusiv caracterul complet sau acuratețea acesteia) și nu este responsabilă pentru utilizarea sau încrederea în lucrare. </w:t>
      </w:r>
    </w:p>
    <w:p w14:paraId="6F280E48" w14:textId="77777777" w:rsidR="007D2814" w:rsidRDefault="00DD102F">
      <w:pPr>
        <w:pStyle w:val="IEABodyText"/>
      </w:pPr>
      <w:r>
        <w:t xml:space="preserve">Pentru informații suplimentare, vă rugăm să contactați: </w:t>
      </w:r>
      <w:r>
        <w:rPr>
          <w:highlight w:val="yellow"/>
        </w:rPr>
        <w:t>GCP (gcp@iea.org).</w:t>
      </w:r>
    </w:p>
    <w:p w14:paraId="6EB8D7AA" w14:textId="77777777" w:rsidR="007D2814" w:rsidRDefault="00DD102F">
      <w:pPr>
        <w:pStyle w:val="IEABodyText"/>
      </w:pPr>
      <w:r>
        <w:rPr>
          <w:noProof/>
          <w:lang w:val="en-US"/>
        </w:rPr>
        <w:drawing>
          <wp:inline distT="0" distB="0" distL="0" distR="0" wp14:anchorId="7D23C8CB" wp14:editId="60DB21F5">
            <wp:extent cx="662940" cy="220980"/>
            <wp:effectExtent l="0" t="0" r="3810" b="7620"/>
            <wp:docPr id="31" name="Imagine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a 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62940" cy="220980"/>
                    </a:xfrm>
                    <a:prstGeom prst="rect">
                      <a:avLst/>
                    </a:prstGeom>
                    <a:noFill/>
                    <a:ln>
                      <a:noFill/>
                    </a:ln>
                  </pic:spPr>
                </pic:pic>
              </a:graphicData>
            </a:graphic>
          </wp:inline>
        </w:drawing>
      </w:r>
    </w:p>
    <w:p w14:paraId="44368A2C" w14:textId="5855FA36" w:rsidR="007D2814" w:rsidRDefault="00DD102F">
      <w:pPr>
        <w:pStyle w:val="IEABodyText"/>
      </w:pPr>
      <w:r>
        <w:t xml:space="preserve">Sub rezerva </w:t>
      </w:r>
      <w:hyperlink r:id="rId185" w:history="1">
        <w:r>
          <w:rPr>
            <w:rStyle w:val="Hyperlink"/>
          </w:rPr>
          <w:t>Comunicării AIE privind conținutul cu licență CC,</w:t>
        </w:r>
      </w:hyperlink>
      <w:r>
        <w:t xml:space="preserve"> această operă este autorizată în temeiul unei </w:t>
      </w:r>
      <w:hyperlink r:id="rId186" w:history="1">
        <w:r>
          <w:rPr>
            <w:rStyle w:val="Hyperlink"/>
          </w:rPr>
          <w:t>licențe internaționale Creative Commons Attribution 4.0.</w:t>
        </w:r>
      </w:hyperlink>
    </w:p>
    <w:p w14:paraId="7B5F85BC" w14:textId="77777777" w:rsidR="007D2814" w:rsidRDefault="00DD102F">
      <w:pPr>
        <w:pStyle w:val="IEABodyText"/>
      </w:pPr>
      <w:r>
        <w:t>Prezentul document și orice hartă inclusă în acesta nu aduc atingere statutului sau suveranității asupra niciunui teritoriu, delimitării frontierelor și granițelor internaționale și denumirii niciunui teritoriu, oraș sau zonă.</w:t>
      </w:r>
    </w:p>
    <w:p w14:paraId="1A9A6FA4" w14:textId="77777777" w:rsidR="007D2814" w:rsidRDefault="00DD102F">
      <w:pPr>
        <w:pStyle w:val="IEABodyText"/>
      </w:pPr>
      <w:r>
        <w:t>Cu excepția cazului în care se indică altfel, toate materialele prezentate în cifre și tabele sunt derivate din datele și analizele AIE.</w:t>
      </w:r>
    </w:p>
    <w:p w14:paraId="31B9A140" w14:textId="77777777" w:rsidR="007D2814" w:rsidRDefault="00DD102F">
      <w:pPr>
        <w:pStyle w:val="IEABodyText"/>
      </w:pPr>
      <w:r>
        <w:t xml:space="preserve">Publicații AIE </w:t>
      </w:r>
    </w:p>
    <w:p w14:paraId="396BD058" w14:textId="77777777" w:rsidR="007D2814" w:rsidRDefault="00DD102F">
      <w:pPr>
        <w:pStyle w:val="IEABodyText"/>
      </w:pPr>
      <w:r>
        <w:t xml:space="preserve">Agenția Internațională a Energiei </w:t>
      </w:r>
    </w:p>
    <w:p w14:paraId="78248D5E" w14:textId="77777777" w:rsidR="007D2814" w:rsidRDefault="00DD102F">
      <w:pPr>
        <w:pStyle w:val="IEABodyText"/>
      </w:pPr>
      <w:r>
        <w:t xml:space="preserve">Site-ul internet: </w:t>
      </w:r>
      <w:r>
        <w:rPr>
          <w:rStyle w:val="Hyperlink"/>
        </w:rPr>
        <w:t>www.iea.org</w:t>
      </w:r>
      <w:r>
        <w:t xml:space="preserve"> </w:t>
      </w:r>
    </w:p>
    <w:p w14:paraId="2D504157" w14:textId="77777777" w:rsidR="007D2814" w:rsidRDefault="00DD102F">
      <w:pPr>
        <w:pStyle w:val="IEABodyText"/>
      </w:pPr>
      <w:r>
        <w:t xml:space="preserve">Informații de contact: www.iea.org/despre/contact </w:t>
      </w:r>
    </w:p>
    <w:p w14:paraId="7AE7798C" w14:textId="77777777" w:rsidR="007D2814" w:rsidRDefault="00DD102F">
      <w:pPr>
        <w:pStyle w:val="P68B1DB1-IEABodyText8"/>
      </w:pPr>
      <w:r>
        <w:t>Typeset în Franța până în 2022-octombrie 2022</w:t>
      </w:r>
    </w:p>
    <w:p w14:paraId="1D2EF2FD" w14:textId="77777777" w:rsidR="007D2814" w:rsidRDefault="00DD102F">
      <w:pPr>
        <w:pStyle w:val="P68B1DB1-IEABodyText8"/>
      </w:pPr>
      <w:r>
        <w:t>Designul coperții: AIE</w:t>
      </w:r>
    </w:p>
    <w:p w14:paraId="2D2C8298" w14:textId="77777777" w:rsidR="007D2814" w:rsidRDefault="00DD102F">
      <w:pPr>
        <w:pStyle w:val="P68B1DB1-IEABodyText8"/>
      </w:pPr>
      <w:r>
        <w:t>Credite foto: © GettyImages</w:t>
      </w:r>
    </w:p>
    <w:p w14:paraId="1F9ABAEA" w14:textId="77777777" w:rsidR="007D2814" w:rsidRDefault="007D2814">
      <w:pPr>
        <w:pStyle w:val="TableofFigures"/>
      </w:pPr>
    </w:p>
    <w:sectPr w:rsidR="007D2814">
      <w:headerReference w:type="default" r:id="rId187"/>
      <w:footerReference w:type="default" r:id="rId188"/>
      <w:endnotePr>
        <w:numFmt w:val="decimal"/>
        <w:numRestart w:val="eachSect"/>
      </w:endnotePr>
      <w:pgSz w:w="11906" w:h="16838" w:code="9"/>
      <w:pgMar w:top="1588" w:right="1134" w:bottom="158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4A77B" w14:textId="77777777" w:rsidR="00E061DC" w:rsidRDefault="00E061DC"/>
  </w:endnote>
  <w:endnote w:type="continuationSeparator" w:id="0">
    <w:p w14:paraId="37AFACB9" w14:textId="77777777" w:rsidR="00E061DC" w:rsidRDefault="00E061DC"/>
  </w:endnote>
  <w:endnote w:type="continuationNotice" w:id="1">
    <w:p w14:paraId="3B6029DD" w14:textId="77777777" w:rsidR="00E061DC" w:rsidRDefault="00E061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raphik Semibold">
    <w:altName w:val="Calibri"/>
    <w:panose1 w:val="00000000000000000000"/>
    <w:charset w:val="00"/>
    <w:family w:val="swiss"/>
    <w:notTrueType/>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FD5A" w14:textId="77777777" w:rsidR="008F78E4" w:rsidRDefault="008F78E4">
    <w:pPr>
      <w:pStyle w:val="Footer"/>
    </w:pPr>
    <w:r>
      <w:t xml:space="preserve">Pagina </w:t>
    </w:r>
    <w:r>
      <w:t xml:space="preserve">⁇ </w:t>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B8FA4" w14:textId="77777777" w:rsidR="008F78E4" w:rsidRDefault="008F78E4">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3E31B" w14:textId="5DF423E1" w:rsidR="008F78E4" w:rsidRDefault="008F78E4">
    <w:pPr>
      <w:pStyle w:val="Footer"/>
    </w:pPr>
    <w:r>
      <w:rPr>
        <w:noProof/>
        <w:lang w:val="en-US"/>
      </w:rPr>
      <mc:AlternateContent>
        <mc:Choice Requires="wps">
          <w:drawing>
            <wp:anchor distT="0" distB="0" distL="114300" distR="114300" simplePos="0" relativeHeight="251664384" behindDoc="0" locked="0" layoutInCell="1" allowOverlap="1" wp14:anchorId="67568E95" wp14:editId="7EA8E4DC">
              <wp:simplePos x="0" y="0"/>
              <wp:positionH relativeFrom="column">
                <wp:posOffset>5616575</wp:posOffset>
              </wp:positionH>
              <wp:positionV relativeFrom="paragraph">
                <wp:posOffset>-739655</wp:posOffset>
              </wp:positionV>
              <wp:extent cx="360045" cy="914400"/>
              <wp:effectExtent l="0" t="4445" r="0" b="0"/>
              <wp:wrapNone/>
              <wp:docPr id="29" name="Dreptunghiu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52981" w14:textId="77777777" w:rsidR="008F78E4" w:rsidRDefault="008F78E4">
                          <w:pPr>
                            <w:pStyle w:val="P68B1DB1-Normal14"/>
                            <w:rPr>
                              <w:szCs w:val="10"/>
                            </w:rPr>
                          </w:pPr>
                          <w:r>
                            <w:t>Eu sunt EA. CC BY 4.0.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68E95" id="Dreptunghiul 3" o:spid="_x0000_s1026" style="position:absolute;left:0;text-align:left;margin-left:442.25pt;margin-top:-58.25pt;width:28.35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" stroked="f">
              <v:textbox style="layout-flow:vertical;mso-layout-flow-alt:bottom-to-top">
                <w:txbxContent>
                  <w:p w14:paraId="15952981" w14:textId="77777777" w:rsidR="008F78E4" w:rsidRDefault="008F78E4">
                    <w:pPr>
                      <w:pStyle w:val="P68B1DB1-Normal14"/>
                      <w:rPr>
                        <w:szCs w:val="10"/>
                      </w:rPr>
                    </w:pPr>
                    <w:r>
                      <w:t>Eu sunt EA. CC BY 4.0.</w:t>
                    </w:r>
                  </w:p>
                </w:txbxContent>
              </v:textbox>
            </v:rect>
          </w:pict>
        </mc:Fallback>
      </mc:AlternateContent>
    </w:r>
    <w:r>
      <w:t xml:space="preserve">Pagina ⁇ </w:t>
    </w:r>
    <w:r>
      <w:fldChar w:fldCharType="begin"/>
    </w:r>
    <w:r>
      <w:instrText xml:space="preserve"> PAGE   \* MERGEFORMAT </w:instrText>
    </w:r>
    <w:r>
      <w:fldChar w:fldCharType="separate"/>
    </w:r>
    <w:r w:rsidR="008E3CA2">
      <w:rPr>
        <w:noProof/>
      </w:rPr>
      <w:t>61</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1008" w14:textId="77777777" w:rsidR="008F78E4" w:rsidRDefault="008F7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2C8D0" w14:textId="77777777" w:rsidR="00E061DC" w:rsidRDefault="00E061DC"/>
    <w:p w14:paraId="6E5E8EC1" w14:textId="77777777" w:rsidR="00E061DC" w:rsidRDefault="00E061DC">
      <w:pPr>
        <w:pStyle w:val="P68B1DB1-Normal13"/>
      </w:pPr>
      <w:r>
        <w:separator/>
      </w:r>
    </w:p>
  </w:footnote>
  <w:footnote w:type="continuationSeparator" w:id="0">
    <w:p w14:paraId="1889A778" w14:textId="77777777" w:rsidR="00E061DC" w:rsidRDefault="00E061DC">
      <w:r>
        <w:continuationSeparator/>
      </w:r>
    </w:p>
    <w:p w14:paraId="73EA6BF9" w14:textId="77777777" w:rsidR="00E061DC" w:rsidRDefault="00E061DC"/>
  </w:footnote>
  <w:footnote w:type="continuationNotice" w:id="1">
    <w:p w14:paraId="5E7F6AF3" w14:textId="77777777" w:rsidR="00E061DC" w:rsidRDefault="00E061DC"/>
  </w:footnote>
  <w:footnote w:id="2">
    <w:p w14:paraId="63F6A389" w14:textId="0410F4AA" w:rsidR="008F78E4" w:rsidRDefault="008F78E4">
      <w:pPr>
        <w:pStyle w:val="IEAFootnotes"/>
      </w:pPr>
      <w:r>
        <w:rPr>
          <w:rStyle w:val="FootnoteReference"/>
        </w:rPr>
        <w:footnoteRef/>
      </w:r>
      <w:r>
        <w:t xml:space="preserve"> În această publicație, datele statistice referitoare la sectorul energetic se referă la Republica Moldova fără regiunea separatistă Transnistria. Transnistria, un teritoriu dintre râul Nistru și granița de est a Moldovei cu Ucraina, nu este recunoscută de Organizația Națiunilor Unite. Guvernul moldovean consideră Transnistria o unitate administrativ-teritorială cu statut special: o parte a Republicii Moldova, dar care nu este controlată de guvernul său. </w:t>
      </w:r>
    </w:p>
  </w:footnote>
  <w:footnote w:id="3">
    <w:p w14:paraId="655E83CE" w14:textId="421BEBA1" w:rsidR="008F78E4" w:rsidRDefault="008F78E4">
      <w:pPr>
        <w:pStyle w:val="IEAFootnotes"/>
      </w:pPr>
      <w:r>
        <w:rPr>
          <w:rStyle w:val="FootnoteReference"/>
        </w:rPr>
        <w:footnoteRef/>
      </w:r>
      <w:r>
        <w:t xml:space="preserve"> </w:t>
      </w:r>
      <w:r>
        <w:t xml:space="preserve">Conform </w:t>
      </w:r>
      <w:r>
        <w:t>tabelului 15 din PNEC, intensitatea energiei primare scade de la 0,33 kilotone echivalent petrol (ktep) la 1 000 EUR în 2020 la 0,24 ktep/1 000 EUR în 2030.</w:t>
      </w:r>
    </w:p>
  </w:footnote>
  <w:footnote w:id="4">
    <w:p w14:paraId="2B789D73" w14:textId="77777777" w:rsidR="008F78E4" w:rsidRDefault="008F78E4">
      <w:pPr>
        <w:pStyle w:val="IEAFootnotes"/>
      </w:pPr>
      <w:r>
        <w:rPr>
          <w:rStyle w:val="FootnoteReference"/>
        </w:rPr>
        <w:footnoteRef/>
      </w:r>
      <w:r>
        <w:t xml:space="preserve"> </w:t>
      </w:r>
      <w:r>
        <w:t xml:space="preserve">Peste </w:t>
      </w:r>
      <w:r>
        <w:t>99 % din resursele de biomasă ale Moldovei sunt clasificate drept „lemn pentru combustibil, reziduuri de lemn și produse secundare”. În 2023, peletele din lemn au reprezentat mai puțin de 5 % din acest total – deși acest procent a crescut semnificativ de la 1,9 % în 2020 și continuă să crească.</w:t>
      </w:r>
    </w:p>
  </w:footnote>
  <w:footnote w:id="5">
    <w:p w14:paraId="4BC7BE6F" w14:textId="4CA76A46" w:rsidR="008F78E4" w:rsidRDefault="008F78E4">
      <w:pPr>
        <w:pStyle w:val="IEAFootnotes"/>
      </w:pPr>
      <w:r>
        <w:rPr>
          <w:rStyle w:val="FootnoteReference"/>
        </w:rPr>
        <w:footnoteRef/>
      </w:r>
      <w:r>
        <w:t xml:space="preserve"> </w:t>
      </w:r>
      <w:r>
        <w:t xml:space="preserve">Cursul </w:t>
      </w:r>
      <w:r>
        <w:t>de schimb: 1 leu moldovenesc (MDL) = 0,0512 EUR (la 1 martie 2025).</w:t>
      </w:r>
    </w:p>
  </w:footnote>
  <w:footnote w:id="6">
    <w:p w14:paraId="1686A598" w14:textId="77777777" w:rsidR="008F78E4" w:rsidRDefault="008F78E4">
      <w:pPr>
        <w:pStyle w:val="IEAFootnotes"/>
      </w:pPr>
      <w:r>
        <w:rPr>
          <w:rStyle w:val="FootnoteReference"/>
        </w:rPr>
        <w:footnoteRef/>
      </w:r>
      <w:r>
        <w:t xml:space="preserve"> </w:t>
      </w:r>
      <w:r>
        <w:t xml:space="preserve">Notă </w:t>
      </w:r>
      <w:r>
        <w:t>din partea Republicii Turcia</w:t>
      </w:r>
    </w:p>
    <w:p w14:paraId="72134AC4" w14:textId="493FF084" w:rsidR="008F78E4" w:rsidRDefault="008F78E4">
      <w:pPr>
        <w:pStyle w:val="IEAFootnotes"/>
      </w:pPr>
      <w:r>
        <w:t>Informațiile din prezentul document referitoare la „Cipru” se referă la partea de sud a insulei. Pe insulă nu există o singură autoritate care să reprezinte atât poporul cipriot turc, cât și pe cel grec. Turcia recunoaște Republica Turcă a Ciprului de Nord (TRNC). Până la găsirea unei soluții durabile și echitabile în contextul Organizației Națiunilor Unite, Turcia își menține poziția cu privire la „problema Ciprului”.</w:t>
      </w:r>
    </w:p>
    <w:p w14:paraId="692840E1" w14:textId="77777777" w:rsidR="008F78E4" w:rsidRDefault="008F78E4">
      <w:pPr>
        <w:pStyle w:val="IEAFootnotes"/>
      </w:pPr>
      <w:r>
        <w:t>Notă din partea tuturor statelor membre ale Uniunii Europene ale OCDE și ale Uniunii Europene</w:t>
      </w:r>
    </w:p>
    <w:p w14:paraId="4C2C1193" w14:textId="484DE55C" w:rsidR="008F78E4" w:rsidRDefault="008F78E4">
      <w:pPr>
        <w:pStyle w:val="IEAFootnotes"/>
      </w:pPr>
      <w:r>
        <w:t>Republica Cipru este recunoscută de toți membrii Organizației Națiunilor Unite, cu excepția Turciei. Informațiile din prezentul document se referă la zona aflată sub controlul efectiv al Guvernului Republicii Cipru.</w:t>
      </w:r>
    </w:p>
  </w:footnote>
  <w:footnote w:id="7">
    <w:p w14:paraId="7D6A8167" w14:textId="77777777" w:rsidR="008F78E4" w:rsidRDefault="008F78E4">
      <w:pPr>
        <w:pStyle w:val="IEAFootnotes"/>
      </w:pPr>
      <w:r>
        <w:rPr>
          <w:rStyle w:val="FootnoteReference"/>
        </w:rPr>
        <w:footnoteRef/>
      </w:r>
      <w:r>
        <w:t xml:space="preserve"> </w:t>
      </w:r>
      <w:r>
        <w:t xml:space="preserve">Acesta </w:t>
      </w:r>
      <w:r>
        <w:t>prevede, de asemenea, 5 000 GBP pentru un cazan pe bază de biomasă.</w:t>
      </w:r>
    </w:p>
  </w:footnote>
  <w:footnote w:id="8">
    <w:p w14:paraId="79F34B45" w14:textId="77777777" w:rsidR="008F78E4" w:rsidRDefault="008F78E4">
      <w:pPr>
        <w:pStyle w:val="IEAFootnotes"/>
      </w:pPr>
      <w:r>
        <w:rPr>
          <w:rStyle w:val="FootnoteReference"/>
        </w:rPr>
        <w:footnoteRef/>
      </w:r>
      <w:r>
        <w:t xml:space="preserve"> </w:t>
      </w:r>
      <w:r>
        <w:t xml:space="preserve">Acestea </w:t>
      </w:r>
      <w:r>
        <w:t xml:space="preserve">sunt cifre orientative obținute de la părțile interesate din Republica Moldova pentru a reprezenta un preț tipic.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31C6" w14:textId="77777777" w:rsidR="008F78E4" w:rsidRDefault="008F78E4">
    <w:pPr>
      <w:pStyle w:val="Header"/>
    </w:pPr>
    <w:r>
      <w:t>Titlul raportului</w:t>
    </w:r>
    <w:r>
      <w:tab/>
      <w:t>Mesajul directorului executiv</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F441" w14:textId="1AB701D8" w:rsidR="008F78E4" w:rsidRDefault="008F78E4">
    <w:pPr>
      <w:pStyle w:val="Header"/>
      <w:rPr>
        <w:szCs w:val="12"/>
      </w:rPr>
    </w:pPr>
    <w:r>
      <w:t>Instalarea pompelor de căldură în Moldova: O foaie de parcurs</w:t>
    </w:r>
    <w:r>
      <w:rPr>
        <w:color w:val="000000"/>
      </w:rPr>
      <w:t xml:space="preserve"> </w:t>
    </w:r>
    <w:r>
      <w:t>Stadiul și indicatorii-cheie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92F8" w14:textId="63BAD8BC" w:rsidR="008F78E4" w:rsidRDefault="008F78E4">
    <w:pPr>
      <w:pStyle w:val="Header"/>
      <w:rPr>
        <w:szCs w:val="12"/>
      </w:rPr>
    </w:pPr>
    <w:r>
      <w:t xml:space="preserve">Instalarea </w:t>
    </w:r>
    <w:r>
      <w:t>pompelor de căldură în Moldova: O foaie de parcurs</w:t>
    </w:r>
    <w:r>
      <w:rPr>
        <w:color w:val="000000"/>
      </w:rPr>
      <w:t xml:space="preserve"> </w:t>
    </w:r>
    <w:r>
      <w:t>Pompe de căldură în Moldova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C087" w14:textId="756F959F" w:rsidR="008F78E4" w:rsidRDefault="008F78E4">
    <w:pPr>
      <w:pStyle w:val="Header"/>
      <w:rPr>
        <w:szCs w:val="12"/>
      </w:rPr>
    </w:pPr>
    <w:r>
      <w:t xml:space="preserve">Instalarea </w:t>
    </w:r>
    <w:r>
      <w:t>pompelor de căldură în Moldova: O foaie de parcurs</w:t>
    </w:r>
    <w:r>
      <w:rPr>
        <w:color w:val="000000"/>
      </w:rPr>
      <w:t xml:space="preserve"> </w:t>
    </w:r>
    <w:r>
      <w:t>Construirea pieței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A69C6" w14:textId="26B0ABE8" w:rsidR="008F78E4" w:rsidRDefault="008F78E4">
    <w:pPr>
      <w:pStyle w:val="Header"/>
      <w:rPr>
        <w:szCs w:val="12"/>
      </w:rPr>
    </w:pPr>
    <w:r>
      <w:t xml:space="preserve">Instalarea </w:t>
    </w:r>
    <w:r>
      <w:t>pompelor de căldură în Moldova: O foaie de parcurs</w:t>
    </w:r>
    <w:r>
      <w:rPr>
        <w:color w:val="000000"/>
      </w:rPr>
      <w:t xml:space="preserve"> </w:t>
    </w:r>
    <w:r>
      <w:t>Finanțarea tranziției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587AE" w14:textId="1CA69B15" w:rsidR="008F78E4" w:rsidRDefault="008F78E4">
    <w:pPr>
      <w:pStyle w:val="Header"/>
      <w:rPr>
        <w:szCs w:val="12"/>
      </w:rPr>
    </w:pPr>
    <w:r>
      <w:t xml:space="preserve">Instalarea </w:t>
    </w:r>
    <w:r>
      <w:t>pompelor de căldură în Moldova: O foaie de parcurs</w:t>
    </w:r>
    <w:r>
      <w:rPr>
        <w:color w:val="000000"/>
      </w:rPr>
      <w:t xml:space="preserve"> </w:t>
    </w:r>
    <w:r>
      <w:t>Reglementarea sectorului</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ACFA" w14:textId="31220DA4" w:rsidR="008F78E4" w:rsidRDefault="008F78E4">
    <w:pPr>
      <w:pStyle w:val="Header"/>
      <w:rPr>
        <w:szCs w:val="12"/>
      </w:rPr>
    </w:pPr>
    <w:r>
      <w:t xml:space="preserve">Instalarea </w:t>
    </w:r>
    <w:r>
      <w:t>pompelor de căldură în Moldova: O foaie de parcurs</w:t>
    </w:r>
    <w:r>
      <w:rPr>
        <w:color w:val="000000"/>
      </w:rPr>
      <w:t xml:space="preserve"> </w:t>
    </w:r>
    <w:r>
      <w:t>O cale pentru pompele de căldură</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061A" w14:textId="7AFAA9BE" w:rsidR="008F78E4" w:rsidRDefault="008F78E4">
    <w:pPr>
      <w:pStyle w:val="Header"/>
      <w:rPr>
        <w:szCs w:val="12"/>
      </w:rPr>
    </w:pPr>
    <w:r>
      <w:t xml:space="preserve">Instalarea </w:t>
    </w:r>
    <w:r>
      <w:t>pompelor de căldură în Moldova: O foaie de parcurs</w:t>
    </w:r>
    <w:r>
      <w:rPr>
        <w:color w:val="000000"/>
      </w:rPr>
      <w:t xml:space="preserve"> </w:t>
    </w:r>
    <w:r>
      <w:t>anexă</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54501" w14:textId="77777777" w:rsidR="008F78E4" w:rsidRDefault="008F78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B211F" w14:textId="77777777" w:rsidR="008F78E4" w:rsidRDefault="008F78E4">
    <w:pPr>
      <w:pStyle w:val="Header"/>
    </w:pPr>
    <w:r>
      <w:rPr>
        <w:noProof/>
        <w:lang w:val="en-US"/>
      </w:rPr>
      <w:drawing>
        <wp:anchor distT="0" distB="0" distL="114300" distR="114300" simplePos="0" relativeHeight="251662336" behindDoc="1" locked="0" layoutInCell="1" allowOverlap="1" wp14:anchorId="73E935B3" wp14:editId="54BE00D3">
          <wp:simplePos x="0" y="0"/>
          <wp:positionH relativeFrom="column">
            <wp:posOffset>-1013460</wp:posOffset>
          </wp:positionH>
          <wp:positionV relativeFrom="paragraph">
            <wp:posOffset>-442595</wp:posOffset>
          </wp:positionV>
          <wp:extent cx="7581900" cy="10723649"/>
          <wp:effectExtent l="0" t="0" r="0" b="0"/>
          <wp:wrapNone/>
          <wp:docPr id="745636986" name="Imaginea 745636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pertă-cu-logo.png"/>
                  <pic:cNvPicPr/>
                </pic:nvPicPr>
                <pic:blipFill>
                  <a:blip r:embed="rId1">
                    <a:extLst>
                      <a:ext uri="{28A0092B-C50C-407E-A947-70E740481C1C}">
                        <a14:useLocalDpi xmlns:a14="http://schemas.microsoft.com/office/drawing/2010/main" val="0"/>
                      </a:ext>
                    </a:extLst>
                  </a:blip>
                  <a:stretch>
                    <a:fillRect/>
                  </a:stretch>
                </pic:blipFill>
                <pic:spPr>
                  <a:xfrm>
                    <a:off x="0" y="0"/>
                    <a:ext cx="7581900" cy="1072364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9D93" w14:textId="77777777" w:rsidR="008F78E4" w:rsidRDefault="008F78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8732" w14:textId="7DAF0872" w:rsidR="008F78E4" w:rsidRDefault="008F78E4">
    <w:pPr>
      <w:pStyle w:val="Header"/>
    </w:pPr>
    <w:r>
      <w:t xml:space="preserve">Instalarea </w:t>
    </w:r>
    <w:r>
      <w:t>pompelor de căldură în Moldova: O foaie de parcurs</w:t>
    </w:r>
    <w:r>
      <w:tab/>
      <w:t>Confirmări de primire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8A65" w14:textId="77777777" w:rsidR="008F78E4" w:rsidRDefault="008F78E4">
    <w:pPr>
      <w:pStyle w:val="Header"/>
    </w:pPr>
    <w:r>
      <w:t xml:space="preserve">Titlul </w:t>
    </w:r>
    <w:r>
      <w:t>raportului</w:t>
    </w:r>
    <w:r>
      <w:tab/>
      <w:t>Constatări și recomandări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056D" w14:textId="08A5A401" w:rsidR="008F78E4" w:rsidRDefault="008F78E4">
    <w:pPr>
      <w:pStyle w:val="Header"/>
      <w:rPr>
        <w:szCs w:val="12"/>
      </w:rPr>
    </w:pPr>
    <w:r>
      <w:t xml:space="preserve">Instalarea </w:t>
    </w:r>
    <w:r>
      <w:t>pompelor de căldură în Moldova: O foaie de parcurs</w:t>
    </w:r>
    <w:r>
      <w:rPr>
        <w:color w:val="000000"/>
      </w:rPr>
      <w:t xml:space="preserve"> </w:t>
    </w:r>
    <w:r>
      <w:t>Cuprins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32D6" w14:textId="77777777" w:rsidR="008F78E4" w:rsidRDefault="008F78E4">
    <w:pPr>
      <w:pStyle w:val="Header"/>
    </w:pPr>
    <w:r>
      <w:t>Titlul raportului</w:t>
    </w:r>
    <w:r>
      <w:tab/>
      <w:t>Titlul secțiunii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7918" w14:textId="5987A36C" w:rsidR="008F78E4" w:rsidRDefault="008F78E4">
    <w:pPr>
      <w:pStyle w:val="Header"/>
      <w:rPr>
        <w:szCs w:val="12"/>
      </w:rPr>
    </w:pPr>
    <w:r>
      <w:t xml:space="preserve">Instalarea </w:t>
    </w:r>
    <w:r>
      <w:t>pompelor de căldură în Moldova: O foaie de parcurs</w:t>
    </w:r>
    <w:r>
      <w:rPr>
        <w:color w:val="000000"/>
      </w:rPr>
      <w:t xml:space="preserve"> </w:t>
    </w:r>
    <w:r>
      <w:t>Sinteză</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BD461" w14:textId="02B45F99" w:rsidR="008F78E4" w:rsidRDefault="008F78E4">
    <w:pPr>
      <w:pStyle w:val="Header"/>
      <w:rPr>
        <w:szCs w:val="12"/>
      </w:rPr>
    </w:pPr>
    <w:r>
      <w:t>Instalarea pompelor de căldură în Moldova: O foaie de parcurs</w:t>
    </w:r>
    <w:r>
      <w:rPr>
        <w:color w:val="000000"/>
      </w:rPr>
      <w:t xml:space="preserve"> </w:t>
    </w:r>
    <w:r>
      <w:t>Introducere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BCA2B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6C4A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F3E76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BEE51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0D878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D632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083F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44C05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3F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16314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D0AB2"/>
    <w:multiLevelType w:val="hybridMultilevel"/>
    <w:tmpl w:val="1F127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1B23FFC"/>
    <w:multiLevelType w:val="multilevel"/>
    <w:tmpl w:val="B860E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5FE1E4C"/>
    <w:multiLevelType w:val="multilevel"/>
    <w:tmpl w:val="FF54DC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F875FE3"/>
    <w:multiLevelType w:val="hybridMultilevel"/>
    <w:tmpl w:val="AFC6D724"/>
    <w:lvl w:ilvl="0" w:tplc="040C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0861C0F"/>
    <w:multiLevelType w:val="hybridMultilevel"/>
    <w:tmpl w:val="BF9AF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C90046"/>
    <w:multiLevelType w:val="hybridMultilevel"/>
    <w:tmpl w:val="47A85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D5428B"/>
    <w:multiLevelType w:val="hybridMultilevel"/>
    <w:tmpl w:val="BEB498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91575B"/>
    <w:multiLevelType w:val="hybridMultilevel"/>
    <w:tmpl w:val="1708D194"/>
    <w:lvl w:ilvl="0" w:tplc="0809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347D57F1"/>
    <w:multiLevelType w:val="multilevel"/>
    <w:tmpl w:val="EA5C5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FF707D"/>
    <w:multiLevelType w:val="hybridMultilevel"/>
    <w:tmpl w:val="65109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5F7A60"/>
    <w:multiLevelType w:val="multilevel"/>
    <w:tmpl w:val="F06CFC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0D18E6"/>
    <w:multiLevelType w:val="hybridMultilevel"/>
    <w:tmpl w:val="E2FEED18"/>
    <w:lvl w:ilvl="0" w:tplc="4C8AB772">
      <w:start w:val="1"/>
      <w:numFmt w:val="bullet"/>
      <w:lvlText w:val=""/>
      <w:lvlJc w:val="left"/>
      <w:pPr>
        <w:ind w:left="720" w:hanging="360"/>
      </w:pPr>
      <w:rPr>
        <w:rFonts w:ascii="Symbol" w:hAnsi="Symbol"/>
      </w:rPr>
    </w:lvl>
    <w:lvl w:ilvl="1" w:tplc="2D4641A4">
      <w:start w:val="1"/>
      <w:numFmt w:val="bullet"/>
      <w:lvlText w:val=""/>
      <w:lvlJc w:val="left"/>
      <w:pPr>
        <w:ind w:left="720" w:hanging="360"/>
      </w:pPr>
      <w:rPr>
        <w:rFonts w:ascii="Symbol" w:hAnsi="Symbol"/>
      </w:rPr>
    </w:lvl>
    <w:lvl w:ilvl="2" w:tplc="B5702198">
      <w:start w:val="1"/>
      <w:numFmt w:val="bullet"/>
      <w:lvlText w:val=""/>
      <w:lvlJc w:val="left"/>
      <w:pPr>
        <w:ind w:left="720" w:hanging="360"/>
      </w:pPr>
      <w:rPr>
        <w:rFonts w:ascii="Symbol" w:hAnsi="Symbol"/>
      </w:rPr>
    </w:lvl>
    <w:lvl w:ilvl="3" w:tplc="49408086">
      <w:start w:val="1"/>
      <w:numFmt w:val="bullet"/>
      <w:lvlText w:val=""/>
      <w:lvlJc w:val="left"/>
      <w:pPr>
        <w:ind w:left="720" w:hanging="360"/>
      </w:pPr>
      <w:rPr>
        <w:rFonts w:ascii="Symbol" w:hAnsi="Symbol"/>
      </w:rPr>
    </w:lvl>
    <w:lvl w:ilvl="4" w:tplc="15140144">
      <w:start w:val="1"/>
      <w:numFmt w:val="bullet"/>
      <w:lvlText w:val=""/>
      <w:lvlJc w:val="left"/>
      <w:pPr>
        <w:ind w:left="720" w:hanging="360"/>
      </w:pPr>
      <w:rPr>
        <w:rFonts w:ascii="Symbol" w:hAnsi="Symbol"/>
      </w:rPr>
    </w:lvl>
    <w:lvl w:ilvl="5" w:tplc="DB60A5F6">
      <w:start w:val="1"/>
      <w:numFmt w:val="bullet"/>
      <w:lvlText w:val=""/>
      <w:lvlJc w:val="left"/>
      <w:pPr>
        <w:ind w:left="720" w:hanging="360"/>
      </w:pPr>
      <w:rPr>
        <w:rFonts w:ascii="Symbol" w:hAnsi="Symbol"/>
      </w:rPr>
    </w:lvl>
    <w:lvl w:ilvl="6" w:tplc="5700296A">
      <w:start w:val="1"/>
      <w:numFmt w:val="bullet"/>
      <w:lvlText w:val=""/>
      <w:lvlJc w:val="left"/>
      <w:pPr>
        <w:ind w:left="720" w:hanging="360"/>
      </w:pPr>
      <w:rPr>
        <w:rFonts w:ascii="Symbol" w:hAnsi="Symbol"/>
      </w:rPr>
    </w:lvl>
    <w:lvl w:ilvl="7" w:tplc="0DDAAB46">
      <w:start w:val="1"/>
      <w:numFmt w:val="bullet"/>
      <w:lvlText w:val=""/>
      <w:lvlJc w:val="left"/>
      <w:pPr>
        <w:ind w:left="720" w:hanging="360"/>
      </w:pPr>
      <w:rPr>
        <w:rFonts w:ascii="Symbol" w:hAnsi="Symbol"/>
      </w:rPr>
    </w:lvl>
    <w:lvl w:ilvl="8" w:tplc="5016BE3E">
      <w:start w:val="1"/>
      <w:numFmt w:val="bullet"/>
      <w:lvlText w:val=""/>
      <w:lvlJc w:val="left"/>
      <w:pPr>
        <w:ind w:left="720" w:hanging="360"/>
      </w:pPr>
      <w:rPr>
        <w:rFonts w:ascii="Symbol" w:hAnsi="Symbol"/>
      </w:rPr>
    </w:lvl>
  </w:abstractNum>
  <w:abstractNum w:abstractNumId="22" w15:restartNumberingAfterBreak="0">
    <w:nsid w:val="4D131EFC"/>
    <w:multiLevelType w:val="hybridMultilevel"/>
    <w:tmpl w:val="B6BC0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5C7591"/>
    <w:multiLevelType w:val="hybridMultilevel"/>
    <w:tmpl w:val="37AADF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F81DE2"/>
    <w:multiLevelType w:val="hybridMultilevel"/>
    <w:tmpl w:val="477AA6FA"/>
    <w:lvl w:ilvl="0" w:tplc="34BA2B9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FE0C5B"/>
    <w:multiLevelType w:val="hybridMultilevel"/>
    <w:tmpl w:val="FA927C6A"/>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6" w15:restartNumberingAfterBreak="0">
    <w:nsid w:val="5C8E0647"/>
    <w:multiLevelType w:val="hybridMultilevel"/>
    <w:tmpl w:val="04C41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F0220E0"/>
    <w:multiLevelType w:val="hybridMultilevel"/>
    <w:tmpl w:val="F8B279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2174D97"/>
    <w:multiLevelType w:val="hybridMultilevel"/>
    <w:tmpl w:val="A912857A"/>
    <w:lvl w:ilvl="0" w:tplc="406CC2AA">
      <w:start w:val="1"/>
      <w:numFmt w:val="bullet"/>
      <w:pStyle w:val="IEABodyBulletTextlevel1"/>
      <w:lvlText w:val=""/>
      <w:lvlJc w:val="left"/>
      <w:pPr>
        <w:ind w:left="7165" w:hanging="360"/>
      </w:pPr>
      <w:rPr>
        <w:rFonts w:ascii="Wingdings" w:hAnsi="Wingdings" w:hint="default"/>
        <w:color w:val="auto"/>
        <w:position w:val="-4"/>
        <w:sz w:val="22"/>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29" w15:restartNumberingAfterBreak="0">
    <w:nsid w:val="66447A79"/>
    <w:multiLevelType w:val="hybridMultilevel"/>
    <w:tmpl w:val="A572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D3614B"/>
    <w:multiLevelType w:val="hybridMultilevel"/>
    <w:tmpl w:val="6818B8EE"/>
    <w:lvl w:ilvl="0" w:tplc="19BEE908">
      <w:start w:val="1"/>
      <w:numFmt w:val="bullet"/>
      <w:pStyle w:val="IEABoxBulletText"/>
      <w:lvlText w:val=""/>
      <w:lvlJc w:val="left"/>
      <w:pPr>
        <w:ind w:left="360" w:hanging="360"/>
      </w:pPr>
      <w:rPr>
        <w:rFonts w:ascii="Wingdings" w:hAnsi="Wingding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923054"/>
    <w:multiLevelType w:val="hybridMultilevel"/>
    <w:tmpl w:val="65389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7A226C"/>
    <w:multiLevelType w:val="multilevel"/>
    <w:tmpl w:val="A23A1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87628513">
    <w:abstractNumId w:val="28"/>
  </w:num>
  <w:num w:numId="2" w16cid:durableId="1497115606">
    <w:abstractNumId w:val="30"/>
  </w:num>
  <w:num w:numId="3" w16cid:durableId="2102799741">
    <w:abstractNumId w:val="22"/>
  </w:num>
  <w:num w:numId="4" w16cid:durableId="1351294895">
    <w:abstractNumId w:val="14"/>
  </w:num>
  <w:num w:numId="5" w16cid:durableId="1792817426">
    <w:abstractNumId w:val="22"/>
  </w:num>
  <w:num w:numId="6" w16cid:durableId="2123911807">
    <w:abstractNumId w:val="9"/>
  </w:num>
  <w:num w:numId="7" w16cid:durableId="1405566470">
    <w:abstractNumId w:val="7"/>
  </w:num>
  <w:num w:numId="8" w16cid:durableId="1757283438">
    <w:abstractNumId w:val="6"/>
  </w:num>
  <w:num w:numId="9" w16cid:durableId="737361920">
    <w:abstractNumId w:val="5"/>
  </w:num>
  <w:num w:numId="10" w16cid:durableId="62990962">
    <w:abstractNumId w:val="4"/>
  </w:num>
  <w:num w:numId="11" w16cid:durableId="597757468">
    <w:abstractNumId w:val="8"/>
  </w:num>
  <w:num w:numId="12" w16cid:durableId="1955556945">
    <w:abstractNumId w:val="3"/>
  </w:num>
  <w:num w:numId="13" w16cid:durableId="1446580090">
    <w:abstractNumId w:val="2"/>
  </w:num>
  <w:num w:numId="14" w16cid:durableId="1120760431">
    <w:abstractNumId w:val="1"/>
  </w:num>
  <w:num w:numId="15" w16cid:durableId="1407655205">
    <w:abstractNumId w:val="0"/>
  </w:num>
  <w:num w:numId="16" w16cid:durableId="741684981">
    <w:abstractNumId w:val="24"/>
  </w:num>
  <w:num w:numId="17" w16cid:durableId="837227845">
    <w:abstractNumId w:val="13"/>
  </w:num>
  <w:num w:numId="18" w16cid:durableId="1825051905">
    <w:abstractNumId w:val="18"/>
  </w:num>
  <w:num w:numId="19" w16cid:durableId="1871457642">
    <w:abstractNumId w:val="27"/>
  </w:num>
  <w:num w:numId="20" w16cid:durableId="907763850">
    <w:abstractNumId w:val="12"/>
  </w:num>
  <w:num w:numId="21" w16cid:durableId="100691909">
    <w:abstractNumId w:val="20"/>
  </w:num>
  <w:num w:numId="22" w16cid:durableId="87453551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311923">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874441">
    <w:abstractNumId w:val="10"/>
  </w:num>
  <w:num w:numId="25" w16cid:durableId="370349555">
    <w:abstractNumId w:val="26"/>
  </w:num>
  <w:num w:numId="26" w16cid:durableId="2068532840">
    <w:abstractNumId w:val="24"/>
  </w:num>
  <w:num w:numId="27" w16cid:durableId="2144349961">
    <w:abstractNumId w:val="23"/>
  </w:num>
  <w:num w:numId="28" w16cid:durableId="1260724678">
    <w:abstractNumId w:val="25"/>
  </w:num>
  <w:num w:numId="29" w16cid:durableId="430008147">
    <w:abstractNumId w:val="19"/>
  </w:num>
  <w:num w:numId="30" w16cid:durableId="298650425">
    <w:abstractNumId w:val="17"/>
  </w:num>
  <w:num w:numId="31" w16cid:durableId="2117823347">
    <w:abstractNumId w:val="29"/>
  </w:num>
  <w:num w:numId="32" w16cid:durableId="525489241">
    <w:abstractNumId w:val="15"/>
  </w:num>
  <w:num w:numId="33" w16cid:durableId="1480270455">
    <w:abstractNumId w:val="31"/>
  </w:num>
  <w:num w:numId="34" w16cid:durableId="1429081847">
    <w:abstractNumId w:val="21"/>
  </w:num>
  <w:num w:numId="35" w16cid:durableId="100552085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6" w:nlCheck="1" w:checkStyle="0"/>
  <w:activeWritingStyle w:appName="MSWord" w:lang="en-GB" w:vendorID="64" w:dllVersion="6" w:nlCheck="1" w:checkStyle="0"/>
  <w:activeWritingStyle w:appName="MSWord" w:lang="en-IN"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proofState w:spelling="clean" w:grammar="clean"/>
  <w:attachedTemplate r:id="rId1"/>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stylePaneSortMethod w:val="0000"/>
  <w:styleLockTheme/>
  <w:styleLockQFSet/>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ECDDocumentId" w:val="C94BEC4B296E2561807C8B5D81C9838E6B3AEAD0AB4401CB6257C867CCD0BB36"/>
  </w:docVars>
  <w:rsids>
    <w:rsidRoot w:val="00823983"/>
    <w:rsid w:val="00000AA4"/>
    <w:rsid w:val="00001DB2"/>
    <w:rsid w:val="00003553"/>
    <w:rsid w:val="000040C9"/>
    <w:rsid w:val="000069B5"/>
    <w:rsid w:val="000070B1"/>
    <w:rsid w:val="000070E3"/>
    <w:rsid w:val="000146E9"/>
    <w:rsid w:val="00015FEE"/>
    <w:rsid w:val="00016F13"/>
    <w:rsid w:val="00025007"/>
    <w:rsid w:val="00026365"/>
    <w:rsid w:val="00026A1C"/>
    <w:rsid w:val="000304D4"/>
    <w:rsid w:val="000304D6"/>
    <w:rsid w:val="0003132E"/>
    <w:rsid w:val="0003235E"/>
    <w:rsid w:val="00032E7B"/>
    <w:rsid w:val="00033352"/>
    <w:rsid w:val="000341BC"/>
    <w:rsid w:val="00035C4D"/>
    <w:rsid w:val="00040E29"/>
    <w:rsid w:val="00041859"/>
    <w:rsid w:val="000424C9"/>
    <w:rsid w:val="0004253B"/>
    <w:rsid w:val="000428C3"/>
    <w:rsid w:val="0004488A"/>
    <w:rsid w:val="00044FBF"/>
    <w:rsid w:val="0004549F"/>
    <w:rsid w:val="000454E0"/>
    <w:rsid w:val="00047A89"/>
    <w:rsid w:val="00047B57"/>
    <w:rsid w:val="0005467A"/>
    <w:rsid w:val="00055ED0"/>
    <w:rsid w:val="00057192"/>
    <w:rsid w:val="0006029F"/>
    <w:rsid w:val="000613C3"/>
    <w:rsid w:val="00061977"/>
    <w:rsid w:val="00062804"/>
    <w:rsid w:val="00062914"/>
    <w:rsid w:val="00065021"/>
    <w:rsid w:val="000651EC"/>
    <w:rsid w:val="00065C98"/>
    <w:rsid w:val="00067F42"/>
    <w:rsid w:val="00075932"/>
    <w:rsid w:val="00075B01"/>
    <w:rsid w:val="000845B4"/>
    <w:rsid w:val="00084611"/>
    <w:rsid w:val="000855FA"/>
    <w:rsid w:val="00085BDB"/>
    <w:rsid w:val="00093F61"/>
    <w:rsid w:val="0009598D"/>
    <w:rsid w:val="000A00E4"/>
    <w:rsid w:val="000A0B18"/>
    <w:rsid w:val="000A1CA5"/>
    <w:rsid w:val="000A3E2A"/>
    <w:rsid w:val="000A679C"/>
    <w:rsid w:val="000B00BB"/>
    <w:rsid w:val="000B0CE5"/>
    <w:rsid w:val="000B1D00"/>
    <w:rsid w:val="000B1D58"/>
    <w:rsid w:val="000B2B49"/>
    <w:rsid w:val="000B341A"/>
    <w:rsid w:val="000B3FAE"/>
    <w:rsid w:val="000B5FBE"/>
    <w:rsid w:val="000C2A44"/>
    <w:rsid w:val="000C41E2"/>
    <w:rsid w:val="000C5AFB"/>
    <w:rsid w:val="000D0050"/>
    <w:rsid w:val="000D517A"/>
    <w:rsid w:val="000D538C"/>
    <w:rsid w:val="000D65B7"/>
    <w:rsid w:val="000E12A1"/>
    <w:rsid w:val="000E3F8F"/>
    <w:rsid w:val="000E6C54"/>
    <w:rsid w:val="000F0294"/>
    <w:rsid w:val="000F2091"/>
    <w:rsid w:val="000F37A3"/>
    <w:rsid w:val="000F3C89"/>
    <w:rsid w:val="000F3CBB"/>
    <w:rsid w:val="000F4410"/>
    <w:rsid w:val="000F4FE0"/>
    <w:rsid w:val="00101E91"/>
    <w:rsid w:val="001027AB"/>
    <w:rsid w:val="001027E6"/>
    <w:rsid w:val="00103027"/>
    <w:rsid w:val="00103996"/>
    <w:rsid w:val="001048F6"/>
    <w:rsid w:val="001051FD"/>
    <w:rsid w:val="00106790"/>
    <w:rsid w:val="00107117"/>
    <w:rsid w:val="001113D3"/>
    <w:rsid w:val="00115C72"/>
    <w:rsid w:val="00116712"/>
    <w:rsid w:val="0011719D"/>
    <w:rsid w:val="00117C29"/>
    <w:rsid w:val="00123D6B"/>
    <w:rsid w:val="001263FE"/>
    <w:rsid w:val="00126C8A"/>
    <w:rsid w:val="00127012"/>
    <w:rsid w:val="00130299"/>
    <w:rsid w:val="00133DFE"/>
    <w:rsid w:val="00134933"/>
    <w:rsid w:val="0013714B"/>
    <w:rsid w:val="001371CC"/>
    <w:rsid w:val="0013794E"/>
    <w:rsid w:val="00143E57"/>
    <w:rsid w:val="0014452E"/>
    <w:rsid w:val="001455C5"/>
    <w:rsid w:val="00146137"/>
    <w:rsid w:val="0014649F"/>
    <w:rsid w:val="00147E22"/>
    <w:rsid w:val="00150364"/>
    <w:rsid w:val="0015114C"/>
    <w:rsid w:val="00153238"/>
    <w:rsid w:val="00153551"/>
    <w:rsid w:val="001544DB"/>
    <w:rsid w:val="00155369"/>
    <w:rsid w:val="00156A49"/>
    <w:rsid w:val="00156EF2"/>
    <w:rsid w:val="00160E84"/>
    <w:rsid w:val="00164AC5"/>
    <w:rsid w:val="00165E24"/>
    <w:rsid w:val="00166D1D"/>
    <w:rsid w:val="00167905"/>
    <w:rsid w:val="001725D8"/>
    <w:rsid w:val="00173AEB"/>
    <w:rsid w:val="00173B9F"/>
    <w:rsid w:val="00173FFE"/>
    <w:rsid w:val="00177D0E"/>
    <w:rsid w:val="001801C3"/>
    <w:rsid w:val="001818DC"/>
    <w:rsid w:val="001829A6"/>
    <w:rsid w:val="001838A3"/>
    <w:rsid w:val="00186007"/>
    <w:rsid w:val="001900F4"/>
    <w:rsid w:val="0019086A"/>
    <w:rsid w:val="00191401"/>
    <w:rsid w:val="0019313D"/>
    <w:rsid w:val="001931BD"/>
    <w:rsid w:val="00193A60"/>
    <w:rsid w:val="001958B4"/>
    <w:rsid w:val="00195D88"/>
    <w:rsid w:val="00196214"/>
    <w:rsid w:val="00196CD0"/>
    <w:rsid w:val="001A1165"/>
    <w:rsid w:val="001A31A4"/>
    <w:rsid w:val="001A49EF"/>
    <w:rsid w:val="001A59F4"/>
    <w:rsid w:val="001A6BCA"/>
    <w:rsid w:val="001A6F99"/>
    <w:rsid w:val="001A7121"/>
    <w:rsid w:val="001A7DA0"/>
    <w:rsid w:val="001A7EAF"/>
    <w:rsid w:val="001B487A"/>
    <w:rsid w:val="001B57DB"/>
    <w:rsid w:val="001C167E"/>
    <w:rsid w:val="001C35F7"/>
    <w:rsid w:val="001C385D"/>
    <w:rsid w:val="001C7866"/>
    <w:rsid w:val="001D1943"/>
    <w:rsid w:val="001D3D01"/>
    <w:rsid w:val="001D4EDC"/>
    <w:rsid w:val="001D6323"/>
    <w:rsid w:val="001E12F8"/>
    <w:rsid w:val="001E2995"/>
    <w:rsid w:val="001E3BDE"/>
    <w:rsid w:val="001E6EAB"/>
    <w:rsid w:val="001E72D7"/>
    <w:rsid w:val="001E751B"/>
    <w:rsid w:val="001E7B5D"/>
    <w:rsid w:val="001F2490"/>
    <w:rsid w:val="001F29DD"/>
    <w:rsid w:val="001F4F17"/>
    <w:rsid w:val="001F4F26"/>
    <w:rsid w:val="001F5C7E"/>
    <w:rsid w:val="001F6C1B"/>
    <w:rsid w:val="001F7B02"/>
    <w:rsid w:val="0020359E"/>
    <w:rsid w:val="00204124"/>
    <w:rsid w:val="002049CF"/>
    <w:rsid w:val="00205AA6"/>
    <w:rsid w:val="002101F9"/>
    <w:rsid w:val="00211312"/>
    <w:rsid w:val="00212DEF"/>
    <w:rsid w:val="00217C4D"/>
    <w:rsid w:val="00221E78"/>
    <w:rsid w:val="002224CA"/>
    <w:rsid w:val="002231A0"/>
    <w:rsid w:val="002276B3"/>
    <w:rsid w:val="0023112A"/>
    <w:rsid w:val="002311D5"/>
    <w:rsid w:val="00234B48"/>
    <w:rsid w:val="002419B9"/>
    <w:rsid w:val="002451CE"/>
    <w:rsid w:val="00245EB5"/>
    <w:rsid w:val="00250BCB"/>
    <w:rsid w:val="00250C8E"/>
    <w:rsid w:val="002510CC"/>
    <w:rsid w:val="002518BD"/>
    <w:rsid w:val="00253759"/>
    <w:rsid w:val="002539A8"/>
    <w:rsid w:val="002547B8"/>
    <w:rsid w:val="0025684D"/>
    <w:rsid w:val="00256FCF"/>
    <w:rsid w:val="00257B5E"/>
    <w:rsid w:val="00257F4C"/>
    <w:rsid w:val="00260BA2"/>
    <w:rsid w:val="00260BEF"/>
    <w:rsid w:val="00262FD4"/>
    <w:rsid w:val="00266A79"/>
    <w:rsid w:val="0026707B"/>
    <w:rsid w:val="002709E7"/>
    <w:rsid w:val="00271870"/>
    <w:rsid w:val="00272D75"/>
    <w:rsid w:val="0027325B"/>
    <w:rsid w:val="00274494"/>
    <w:rsid w:val="00276336"/>
    <w:rsid w:val="00276421"/>
    <w:rsid w:val="002765C1"/>
    <w:rsid w:val="00277E79"/>
    <w:rsid w:val="002803B3"/>
    <w:rsid w:val="0028193F"/>
    <w:rsid w:val="00282939"/>
    <w:rsid w:val="00283000"/>
    <w:rsid w:val="00286A4C"/>
    <w:rsid w:val="00287E77"/>
    <w:rsid w:val="002901B7"/>
    <w:rsid w:val="002905DC"/>
    <w:rsid w:val="002926EF"/>
    <w:rsid w:val="00292D5A"/>
    <w:rsid w:val="002958F6"/>
    <w:rsid w:val="00295D18"/>
    <w:rsid w:val="00296560"/>
    <w:rsid w:val="002A0CF3"/>
    <w:rsid w:val="002A1AFD"/>
    <w:rsid w:val="002A20AF"/>
    <w:rsid w:val="002A2581"/>
    <w:rsid w:val="002A4EEA"/>
    <w:rsid w:val="002A5B4A"/>
    <w:rsid w:val="002A6A57"/>
    <w:rsid w:val="002B2C3A"/>
    <w:rsid w:val="002B3263"/>
    <w:rsid w:val="002C092E"/>
    <w:rsid w:val="002C2491"/>
    <w:rsid w:val="002C455C"/>
    <w:rsid w:val="002C4922"/>
    <w:rsid w:val="002C4C3A"/>
    <w:rsid w:val="002D5267"/>
    <w:rsid w:val="002E1127"/>
    <w:rsid w:val="002E16B5"/>
    <w:rsid w:val="002E2775"/>
    <w:rsid w:val="002E3368"/>
    <w:rsid w:val="002E57EE"/>
    <w:rsid w:val="002F0E6B"/>
    <w:rsid w:val="002F1B77"/>
    <w:rsid w:val="002F3135"/>
    <w:rsid w:val="002F4612"/>
    <w:rsid w:val="002F567A"/>
    <w:rsid w:val="003009EC"/>
    <w:rsid w:val="00310FD5"/>
    <w:rsid w:val="00311173"/>
    <w:rsid w:val="003150F7"/>
    <w:rsid w:val="003158D4"/>
    <w:rsid w:val="00315B52"/>
    <w:rsid w:val="00316716"/>
    <w:rsid w:val="00320053"/>
    <w:rsid w:val="00320D9A"/>
    <w:rsid w:val="0032573D"/>
    <w:rsid w:val="0032686D"/>
    <w:rsid w:val="00327198"/>
    <w:rsid w:val="00327E3D"/>
    <w:rsid w:val="0033009D"/>
    <w:rsid w:val="00330337"/>
    <w:rsid w:val="00330769"/>
    <w:rsid w:val="00332B03"/>
    <w:rsid w:val="00333D93"/>
    <w:rsid w:val="00334DAA"/>
    <w:rsid w:val="003356AD"/>
    <w:rsid w:val="003359B5"/>
    <w:rsid w:val="003374B8"/>
    <w:rsid w:val="00341838"/>
    <w:rsid w:val="003429EC"/>
    <w:rsid w:val="00342D2C"/>
    <w:rsid w:val="00343D7A"/>
    <w:rsid w:val="00344F19"/>
    <w:rsid w:val="003466B5"/>
    <w:rsid w:val="00346775"/>
    <w:rsid w:val="00351039"/>
    <w:rsid w:val="003510E8"/>
    <w:rsid w:val="00351332"/>
    <w:rsid w:val="003528DE"/>
    <w:rsid w:val="00353315"/>
    <w:rsid w:val="003539B2"/>
    <w:rsid w:val="0035456A"/>
    <w:rsid w:val="00356052"/>
    <w:rsid w:val="00357A46"/>
    <w:rsid w:val="0036186B"/>
    <w:rsid w:val="003635B1"/>
    <w:rsid w:val="00365142"/>
    <w:rsid w:val="00365C1E"/>
    <w:rsid w:val="003677B7"/>
    <w:rsid w:val="00372997"/>
    <w:rsid w:val="00373AD5"/>
    <w:rsid w:val="00375530"/>
    <w:rsid w:val="00376271"/>
    <w:rsid w:val="003766A8"/>
    <w:rsid w:val="00376BF5"/>
    <w:rsid w:val="00376E03"/>
    <w:rsid w:val="00380059"/>
    <w:rsid w:val="0038065A"/>
    <w:rsid w:val="00381B26"/>
    <w:rsid w:val="00381BDC"/>
    <w:rsid w:val="003836C2"/>
    <w:rsid w:val="003838A7"/>
    <w:rsid w:val="00383DE2"/>
    <w:rsid w:val="0038401C"/>
    <w:rsid w:val="00386A77"/>
    <w:rsid w:val="0039012B"/>
    <w:rsid w:val="0039018C"/>
    <w:rsid w:val="00390AF9"/>
    <w:rsid w:val="00391474"/>
    <w:rsid w:val="00391A34"/>
    <w:rsid w:val="00392660"/>
    <w:rsid w:val="003936BC"/>
    <w:rsid w:val="00394A29"/>
    <w:rsid w:val="00395235"/>
    <w:rsid w:val="003A09D3"/>
    <w:rsid w:val="003A0C74"/>
    <w:rsid w:val="003A1069"/>
    <w:rsid w:val="003A1EF3"/>
    <w:rsid w:val="003A36F8"/>
    <w:rsid w:val="003A5277"/>
    <w:rsid w:val="003A5B21"/>
    <w:rsid w:val="003A6ABF"/>
    <w:rsid w:val="003B0E87"/>
    <w:rsid w:val="003B338A"/>
    <w:rsid w:val="003B33F1"/>
    <w:rsid w:val="003B4B24"/>
    <w:rsid w:val="003B5738"/>
    <w:rsid w:val="003B6258"/>
    <w:rsid w:val="003C1A79"/>
    <w:rsid w:val="003C3D57"/>
    <w:rsid w:val="003C3DE5"/>
    <w:rsid w:val="003C3F5B"/>
    <w:rsid w:val="003C5319"/>
    <w:rsid w:val="003C5BFF"/>
    <w:rsid w:val="003C6350"/>
    <w:rsid w:val="003D01B9"/>
    <w:rsid w:val="003D1B34"/>
    <w:rsid w:val="003D2698"/>
    <w:rsid w:val="003D39DF"/>
    <w:rsid w:val="003D4485"/>
    <w:rsid w:val="003D4C21"/>
    <w:rsid w:val="003D7BEE"/>
    <w:rsid w:val="003E76A4"/>
    <w:rsid w:val="003F18C2"/>
    <w:rsid w:val="003F1AE9"/>
    <w:rsid w:val="003F37B2"/>
    <w:rsid w:val="003F3836"/>
    <w:rsid w:val="003F3BF6"/>
    <w:rsid w:val="003F4DDC"/>
    <w:rsid w:val="003F5756"/>
    <w:rsid w:val="003F78D8"/>
    <w:rsid w:val="0040290D"/>
    <w:rsid w:val="004115B7"/>
    <w:rsid w:val="00412605"/>
    <w:rsid w:val="00412770"/>
    <w:rsid w:val="00413701"/>
    <w:rsid w:val="00413F1F"/>
    <w:rsid w:val="0041724E"/>
    <w:rsid w:val="004201EF"/>
    <w:rsid w:val="00420C2A"/>
    <w:rsid w:val="00421FCF"/>
    <w:rsid w:val="00427A17"/>
    <w:rsid w:val="0043173A"/>
    <w:rsid w:val="004317EE"/>
    <w:rsid w:val="00431F58"/>
    <w:rsid w:val="004331AD"/>
    <w:rsid w:val="004362AF"/>
    <w:rsid w:val="00437624"/>
    <w:rsid w:val="004410F9"/>
    <w:rsid w:val="004412A5"/>
    <w:rsid w:val="004415C7"/>
    <w:rsid w:val="004415DF"/>
    <w:rsid w:val="00441863"/>
    <w:rsid w:val="0044259A"/>
    <w:rsid w:val="00442FC4"/>
    <w:rsid w:val="0044427C"/>
    <w:rsid w:val="00444BED"/>
    <w:rsid w:val="00444F4C"/>
    <w:rsid w:val="00445093"/>
    <w:rsid w:val="00445BFC"/>
    <w:rsid w:val="004464A9"/>
    <w:rsid w:val="004472CE"/>
    <w:rsid w:val="00447FEB"/>
    <w:rsid w:val="0045269C"/>
    <w:rsid w:val="00453616"/>
    <w:rsid w:val="0045521C"/>
    <w:rsid w:val="00455E4F"/>
    <w:rsid w:val="00457A43"/>
    <w:rsid w:val="00457E13"/>
    <w:rsid w:val="00460B44"/>
    <w:rsid w:val="00460E3E"/>
    <w:rsid w:val="0046392F"/>
    <w:rsid w:val="0046479F"/>
    <w:rsid w:val="00472634"/>
    <w:rsid w:val="004726DB"/>
    <w:rsid w:val="00473BE8"/>
    <w:rsid w:val="0047459F"/>
    <w:rsid w:val="00475A1C"/>
    <w:rsid w:val="00476BB0"/>
    <w:rsid w:val="0047764A"/>
    <w:rsid w:val="00477D3B"/>
    <w:rsid w:val="0048014C"/>
    <w:rsid w:val="004812DA"/>
    <w:rsid w:val="00482D4B"/>
    <w:rsid w:val="00482EB4"/>
    <w:rsid w:val="0048339B"/>
    <w:rsid w:val="0049032F"/>
    <w:rsid w:val="00492503"/>
    <w:rsid w:val="00492978"/>
    <w:rsid w:val="004A0ACD"/>
    <w:rsid w:val="004A0FF4"/>
    <w:rsid w:val="004A21AC"/>
    <w:rsid w:val="004A267B"/>
    <w:rsid w:val="004A4B78"/>
    <w:rsid w:val="004B1016"/>
    <w:rsid w:val="004B1B14"/>
    <w:rsid w:val="004B3BAE"/>
    <w:rsid w:val="004B69BA"/>
    <w:rsid w:val="004C0F33"/>
    <w:rsid w:val="004C12AB"/>
    <w:rsid w:val="004C181D"/>
    <w:rsid w:val="004C18E5"/>
    <w:rsid w:val="004C1B5E"/>
    <w:rsid w:val="004C1FAC"/>
    <w:rsid w:val="004C294B"/>
    <w:rsid w:val="004C3691"/>
    <w:rsid w:val="004C3BB2"/>
    <w:rsid w:val="004C479B"/>
    <w:rsid w:val="004C5362"/>
    <w:rsid w:val="004C5702"/>
    <w:rsid w:val="004C5841"/>
    <w:rsid w:val="004C6813"/>
    <w:rsid w:val="004C6D60"/>
    <w:rsid w:val="004C6F35"/>
    <w:rsid w:val="004D0868"/>
    <w:rsid w:val="004D0918"/>
    <w:rsid w:val="004D1C61"/>
    <w:rsid w:val="004D3926"/>
    <w:rsid w:val="004D3EE7"/>
    <w:rsid w:val="004D4C1D"/>
    <w:rsid w:val="004D5CF6"/>
    <w:rsid w:val="004D603B"/>
    <w:rsid w:val="004E1CD6"/>
    <w:rsid w:val="004E3AE5"/>
    <w:rsid w:val="004E7608"/>
    <w:rsid w:val="004E7AF4"/>
    <w:rsid w:val="004F064D"/>
    <w:rsid w:val="004F1AE1"/>
    <w:rsid w:val="004F3C83"/>
    <w:rsid w:val="004F6632"/>
    <w:rsid w:val="0050480E"/>
    <w:rsid w:val="00504864"/>
    <w:rsid w:val="00504D3B"/>
    <w:rsid w:val="0050607C"/>
    <w:rsid w:val="005061B2"/>
    <w:rsid w:val="00506268"/>
    <w:rsid w:val="00506BB1"/>
    <w:rsid w:val="00506E90"/>
    <w:rsid w:val="00507B15"/>
    <w:rsid w:val="00511EE9"/>
    <w:rsid w:val="00515AF6"/>
    <w:rsid w:val="005172A0"/>
    <w:rsid w:val="00517369"/>
    <w:rsid w:val="00520D4F"/>
    <w:rsid w:val="00521E77"/>
    <w:rsid w:val="0052277E"/>
    <w:rsid w:val="00522BA1"/>
    <w:rsid w:val="00524CD5"/>
    <w:rsid w:val="00524D98"/>
    <w:rsid w:val="00524ECB"/>
    <w:rsid w:val="005254E8"/>
    <w:rsid w:val="00526DE0"/>
    <w:rsid w:val="00527F68"/>
    <w:rsid w:val="00531897"/>
    <w:rsid w:val="005327AE"/>
    <w:rsid w:val="00533594"/>
    <w:rsid w:val="00534583"/>
    <w:rsid w:val="00535F04"/>
    <w:rsid w:val="00537E6E"/>
    <w:rsid w:val="00540594"/>
    <w:rsid w:val="0054194E"/>
    <w:rsid w:val="0054445B"/>
    <w:rsid w:val="00545492"/>
    <w:rsid w:val="00547EA0"/>
    <w:rsid w:val="005503BC"/>
    <w:rsid w:val="0055112A"/>
    <w:rsid w:val="00553483"/>
    <w:rsid w:val="00554707"/>
    <w:rsid w:val="00555062"/>
    <w:rsid w:val="0055557A"/>
    <w:rsid w:val="005576D7"/>
    <w:rsid w:val="00557AF2"/>
    <w:rsid w:val="005607A5"/>
    <w:rsid w:val="005609D0"/>
    <w:rsid w:val="005628A4"/>
    <w:rsid w:val="00564630"/>
    <w:rsid w:val="00564A95"/>
    <w:rsid w:val="00564B50"/>
    <w:rsid w:val="00571ABD"/>
    <w:rsid w:val="0057320E"/>
    <w:rsid w:val="00574466"/>
    <w:rsid w:val="00574799"/>
    <w:rsid w:val="00575320"/>
    <w:rsid w:val="00577085"/>
    <w:rsid w:val="00580203"/>
    <w:rsid w:val="005814DC"/>
    <w:rsid w:val="00582A78"/>
    <w:rsid w:val="00582E52"/>
    <w:rsid w:val="00585613"/>
    <w:rsid w:val="005865A7"/>
    <w:rsid w:val="00587304"/>
    <w:rsid w:val="00591F5B"/>
    <w:rsid w:val="00592433"/>
    <w:rsid w:val="00594A27"/>
    <w:rsid w:val="005A1253"/>
    <w:rsid w:val="005A1B61"/>
    <w:rsid w:val="005A2267"/>
    <w:rsid w:val="005A26F5"/>
    <w:rsid w:val="005A2A05"/>
    <w:rsid w:val="005A2AC7"/>
    <w:rsid w:val="005A4084"/>
    <w:rsid w:val="005A60F2"/>
    <w:rsid w:val="005A695C"/>
    <w:rsid w:val="005B2071"/>
    <w:rsid w:val="005B4202"/>
    <w:rsid w:val="005B6DA6"/>
    <w:rsid w:val="005C219A"/>
    <w:rsid w:val="005C2BDD"/>
    <w:rsid w:val="005C39D4"/>
    <w:rsid w:val="005C5133"/>
    <w:rsid w:val="005C7428"/>
    <w:rsid w:val="005D2C4D"/>
    <w:rsid w:val="005D30C4"/>
    <w:rsid w:val="005D417B"/>
    <w:rsid w:val="005D43E9"/>
    <w:rsid w:val="005D4C1B"/>
    <w:rsid w:val="005E0FAD"/>
    <w:rsid w:val="005E1F57"/>
    <w:rsid w:val="005E4479"/>
    <w:rsid w:val="005E774B"/>
    <w:rsid w:val="005F1AFB"/>
    <w:rsid w:val="005F220B"/>
    <w:rsid w:val="005F3A47"/>
    <w:rsid w:val="005F5E96"/>
    <w:rsid w:val="005F77E2"/>
    <w:rsid w:val="005F7F78"/>
    <w:rsid w:val="00601199"/>
    <w:rsid w:val="006019F9"/>
    <w:rsid w:val="00602655"/>
    <w:rsid w:val="006027F3"/>
    <w:rsid w:val="00602C61"/>
    <w:rsid w:val="00604FFD"/>
    <w:rsid w:val="006050BF"/>
    <w:rsid w:val="00606895"/>
    <w:rsid w:val="0061436D"/>
    <w:rsid w:val="006161B6"/>
    <w:rsid w:val="00621C8C"/>
    <w:rsid w:val="006220A9"/>
    <w:rsid w:val="0062230D"/>
    <w:rsid w:val="0062391D"/>
    <w:rsid w:val="00626528"/>
    <w:rsid w:val="006273FA"/>
    <w:rsid w:val="00634848"/>
    <w:rsid w:val="006357C2"/>
    <w:rsid w:val="006364AD"/>
    <w:rsid w:val="00636621"/>
    <w:rsid w:val="00636C02"/>
    <w:rsid w:val="00640B37"/>
    <w:rsid w:val="00641277"/>
    <w:rsid w:val="0064154D"/>
    <w:rsid w:val="00641F78"/>
    <w:rsid w:val="00644994"/>
    <w:rsid w:val="00650961"/>
    <w:rsid w:val="00652C6F"/>
    <w:rsid w:val="00652D50"/>
    <w:rsid w:val="00653665"/>
    <w:rsid w:val="00654295"/>
    <w:rsid w:val="0065462B"/>
    <w:rsid w:val="00654DC2"/>
    <w:rsid w:val="0065701D"/>
    <w:rsid w:val="0066209A"/>
    <w:rsid w:val="00662AC3"/>
    <w:rsid w:val="00662C62"/>
    <w:rsid w:val="00663364"/>
    <w:rsid w:val="00665BF3"/>
    <w:rsid w:val="00671A5C"/>
    <w:rsid w:val="00674FAE"/>
    <w:rsid w:val="00683CDB"/>
    <w:rsid w:val="0068487B"/>
    <w:rsid w:val="00685DE9"/>
    <w:rsid w:val="006903ED"/>
    <w:rsid w:val="00690513"/>
    <w:rsid w:val="0069201F"/>
    <w:rsid w:val="0069345C"/>
    <w:rsid w:val="00693472"/>
    <w:rsid w:val="00694518"/>
    <w:rsid w:val="00694CAB"/>
    <w:rsid w:val="0069531F"/>
    <w:rsid w:val="0069549C"/>
    <w:rsid w:val="00697051"/>
    <w:rsid w:val="006A15C4"/>
    <w:rsid w:val="006A26EB"/>
    <w:rsid w:val="006A7F3B"/>
    <w:rsid w:val="006B5018"/>
    <w:rsid w:val="006B6E32"/>
    <w:rsid w:val="006B72F5"/>
    <w:rsid w:val="006C26F0"/>
    <w:rsid w:val="006C2BFA"/>
    <w:rsid w:val="006C3341"/>
    <w:rsid w:val="006C3B95"/>
    <w:rsid w:val="006C522D"/>
    <w:rsid w:val="006C5AF5"/>
    <w:rsid w:val="006C5CD0"/>
    <w:rsid w:val="006C7095"/>
    <w:rsid w:val="006C75B0"/>
    <w:rsid w:val="006D23F8"/>
    <w:rsid w:val="006D4AE7"/>
    <w:rsid w:val="006D5451"/>
    <w:rsid w:val="006D782D"/>
    <w:rsid w:val="006E212B"/>
    <w:rsid w:val="006E2583"/>
    <w:rsid w:val="006E2825"/>
    <w:rsid w:val="006E3D9B"/>
    <w:rsid w:val="006E7FFB"/>
    <w:rsid w:val="006F0B66"/>
    <w:rsid w:val="006F2158"/>
    <w:rsid w:val="006F2940"/>
    <w:rsid w:val="006F38BE"/>
    <w:rsid w:val="00702A5C"/>
    <w:rsid w:val="00702C05"/>
    <w:rsid w:val="007031AF"/>
    <w:rsid w:val="00703B2D"/>
    <w:rsid w:val="00705A1E"/>
    <w:rsid w:val="0071080B"/>
    <w:rsid w:val="007110D9"/>
    <w:rsid w:val="00712442"/>
    <w:rsid w:val="00715FB7"/>
    <w:rsid w:val="00717F6C"/>
    <w:rsid w:val="00720AEE"/>
    <w:rsid w:val="00722FE7"/>
    <w:rsid w:val="0072435C"/>
    <w:rsid w:val="007269E8"/>
    <w:rsid w:val="0072739E"/>
    <w:rsid w:val="00727531"/>
    <w:rsid w:val="00731801"/>
    <w:rsid w:val="0073245F"/>
    <w:rsid w:val="007342A4"/>
    <w:rsid w:val="00734BEF"/>
    <w:rsid w:val="00736F69"/>
    <w:rsid w:val="00737A85"/>
    <w:rsid w:val="00740A0D"/>
    <w:rsid w:val="00741189"/>
    <w:rsid w:val="00742B94"/>
    <w:rsid w:val="00743780"/>
    <w:rsid w:val="007441C5"/>
    <w:rsid w:val="00746A76"/>
    <w:rsid w:val="00750FD4"/>
    <w:rsid w:val="007516FC"/>
    <w:rsid w:val="007518EB"/>
    <w:rsid w:val="007519E9"/>
    <w:rsid w:val="00752E4B"/>
    <w:rsid w:val="00755701"/>
    <w:rsid w:val="00756738"/>
    <w:rsid w:val="00761A8C"/>
    <w:rsid w:val="0076537C"/>
    <w:rsid w:val="0076599A"/>
    <w:rsid w:val="00767C05"/>
    <w:rsid w:val="00770D0D"/>
    <w:rsid w:val="00773245"/>
    <w:rsid w:val="00773970"/>
    <w:rsid w:val="007740F2"/>
    <w:rsid w:val="00775EF3"/>
    <w:rsid w:val="007763C3"/>
    <w:rsid w:val="00776B72"/>
    <w:rsid w:val="00777529"/>
    <w:rsid w:val="00777889"/>
    <w:rsid w:val="00780789"/>
    <w:rsid w:val="00780FB6"/>
    <w:rsid w:val="00785692"/>
    <w:rsid w:val="00785A5A"/>
    <w:rsid w:val="00785FBF"/>
    <w:rsid w:val="00786DA4"/>
    <w:rsid w:val="00792AE4"/>
    <w:rsid w:val="007945CF"/>
    <w:rsid w:val="00794936"/>
    <w:rsid w:val="007953DE"/>
    <w:rsid w:val="00796F83"/>
    <w:rsid w:val="007972A0"/>
    <w:rsid w:val="00797E16"/>
    <w:rsid w:val="007A0224"/>
    <w:rsid w:val="007A0E3F"/>
    <w:rsid w:val="007A1521"/>
    <w:rsid w:val="007A3724"/>
    <w:rsid w:val="007A4BCE"/>
    <w:rsid w:val="007A5755"/>
    <w:rsid w:val="007A6684"/>
    <w:rsid w:val="007B356D"/>
    <w:rsid w:val="007B6229"/>
    <w:rsid w:val="007B62D1"/>
    <w:rsid w:val="007B7296"/>
    <w:rsid w:val="007C06A6"/>
    <w:rsid w:val="007C126B"/>
    <w:rsid w:val="007C2809"/>
    <w:rsid w:val="007C294E"/>
    <w:rsid w:val="007C2DC8"/>
    <w:rsid w:val="007C30BF"/>
    <w:rsid w:val="007C4285"/>
    <w:rsid w:val="007C4430"/>
    <w:rsid w:val="007C4BF8"/>
    <w:rsid w:val="007C5322"/>
    <w:rsid w:val="007C55B1"/>
    <w:rsid w:val="007C73A1"/>
    <w:rsid w:val="007C73EB"/>
    <w:rsid w:val="007C7A88"/>
    <w:rsid w:val="007C7E3D"/>
    <w:rsid w:val="007D2814"/>
    <w:rsid w:val="007D347E"/>
    <w:rsid w:val="007D4BD2"/>
    <w:rsid w:val="007D5C8A"/>
    <w:rsid w:val="007D71D4"/>
    <w:rsid w:val="007E01FB"/>
    <w:rsid w:val="007E17E3"/>
    <w:rsid w:val="007E539B"/>
    <w:rsid w:val="007E5C08"/>
    <w:rsid w:val="007E6589"/>
    <w:rsid w:val="007F077D"/>
    <w:rsid w:val="007F48ED"/>
    <w:rsid w:val="007F57DC"/>
    <w:rsid w:val="007F67D6"/>
    <w:rsid w:val="0080309F"/>
    <w:rsid w:val="0080450B"/>
    <w:rsid w:val="00806041"/>
    <w:rsid w:val="00810609"/>
    <w:rsid w:val="008114E6"/>
    <w:rsid w:val="0081220C"/>
    <w:rsid w:val="0081289A"/>
    <w:rsid w:val="00813CEF"/>
    <w:rsid w:val="00814BD1"/>
    <w:rsid w:val="008158FD"/>
    <w:rsid w:val="008178A4"/>
    <w:rsid w:val="00823983"/>
    <w:rsid w:val="0082527D"/>
    <w:rsid w:val="00830942"/>
    <w:rsid w:val="00833645"/>
    <w:rsid w:val="008338CD"/>
    <w:rsid w:val="00834959"/>
    <w:rsid w:val="00835889"/>
    <w:rsid w:val="00840410"/>
    <w:rsid w:val="00841F17"/>
    <w:rsid w:val="008423F7"/>
    <w:rsid w:val="00844006"/>
    <w:rsid w:val="00845772"/>
    <w:rsid w:val="00845FDE"/>
    <w:rsid w:val="0084641D"/>
    <w:rsid w:val="00850349"/>
    <w:rsid w:val="00851FA8"/>
    <w:rsid w:val="00856165"/>
    <w:rsid w:val="00856678"/>
    <w:rsid w:val="0086163B"/>
    <w:rsid w:val="00862B71"/>
    <w:rsid w:val="00863082"/>
    <w:rsid w:val="00863681"/>
    <w:rsid w:val="00863D8C"/>
    <w:rsid w:val="00865AB2"/>
    <w:rsid w:val="00870E54"/>
    <w:rsid w:val="0087121E"/>
    <w:rsid w:val="0087344B"/>
    <w:rsid w:val="00877500"/>
    <w:rsid w:val="008827BE"/>
    <w:rsid w:val="00882DCD"/>
    <w:rsid w:val="0088363C"/>
    <w:rsid w:val="00884FC3"/>
    <w:rsid w:val="00890DB4"/>
    <w:rsid w:val="00891052"/>
    <w:rsid w:val="00893C39"/>
    <w:rsid w:val="00894325"/>
    <w:rsid w:val="00896377"/>
    <w:rsid w:val="008A090A"/>
    <w:rsid w:val="008A19CD"/>
    <w:rsid w:val="008A25BB"/>
    <w:rsid w:val="008A3DAF"/>
    <w:rsid w:val="008A43B4"/>
    <w:rsid w:val="008A490E"/>
    <w:rsid w:val="008A54BD"/>
    <w:rsid w:val="008A61ED"/>
    <w:rsid w:val="008B073C"/>
    <w:rsid w:val="008B2D5A"/>
    <w:rsid w:val="008B53BD"/>
    <w:rsid w:val="008B7627"/>
    <w:rsid w:val="008C044F"/>
    <w:rsid w:val="008C1699"/>
    <w:rsid w:val="008C1CB6"/>
    <w:rsid w:val="008C38B1"/>
    <w:rsid w:val="008C40AD"/>
    <w:rsid w:val="008C56F3"/>
    <w:rsid w:val="008C5C72"/>
    <w:rsid w:val="008D107A"/>
    <w:rsid w:val="008D3658"/>
    <w:rsid w:val="008D45BC"/>
    <w:rsid w:val="008D5E8E"/>
    <w:rsid w:val="008D5EF2"/>
    <w:rsid w:val="008D6116"/>
    <w:rsid w:val="008E14C3"/>
    <w:rsid w:val="008E3CA2"/>
    <w:rsid w:val="008E6D48"/>
    <w:rsid w:val="008E7F23"/>
    <w:rsid w:val="008F2B57"/>
    <w:rsid w:val="008F5AB3"/>
    <w:rsid w:val="008F78E4"/>
    <w:rsid w:val="0090300D"/>
    <w:rsid w:val="00903076"/>
    <w:rsid w:val="00905ACD"/>
    <w:rsid w:val="00905C6E"/>
    <w:rsid w:val="009109AB"/>
    <w:rsid w:val="009115AA"/>
    <w:rsid w:val="009145A4"/>
    <w:rsid w:val="00914BA8"/>
    <w:rsid w:val="00915696"/>
    <w:rsid w:val="0091663F"/>
    <w:rsid w:val="00916912"/>
    <w:rsid w:val="00916B8E"/>
    <w:rsid w:val="00917CE0"/>
    <w:rsid w:val="0092219F"/>
    <w:rsid w:val="00922FDD"/>
    <w:rsid w:val="00923033"/>
    <w:rsid w:val="0092653B"/>
    <w:rsid w:val="0092770E"/>
    <w:rsid w:val="0092774A"/>
    <w:rsid w:val="00927A23"/>
    <w:rsid w:val="00932EF6"/>
    <w:rsid w:val="00946414"/>
    <w:rsid w:val="009476C7"/>
    <w:rsid w:val="0095120D"/>
    <w:rsid w:val="00951BB1"/>
    <w:rsid w:val="00952D27"/>
    <w:rsid w:val="00952D47"/>
    <w:rsid w:val="00953ABF"/>
    <w:rsid w:val="0095544C"/>
    <w:rsid w:val="0095735A"/>
    <w:rsid w:val="00960435"/>
    <w:rsid w:val="00960AF0"/>
    <w:rsid w:val="00961608"/>
    <w:rsid w:val="0096425F"/>
    <w:rsid w:val="00964AA3"/>
    <w:rsid w:val="009719CB"/>
    <w:rsid w:val="00972183"/>
    <w:rsid w:val="0097511A"/>
    <w:rsid w:val="0097518E"/>
    <w:rsid w:val="0097576B"/>
    <w:rsid w:val="00977433"/>
    <w:rsid w:val="00984676"/>
    <w:rsid w:val="00985EC8"/>
    <w:rsid w:val="00986725"/>
    <w:rsid w:val="009870D7"/>
    <w:rsid w:val="00991736"/>
    <w:rsid w:val="009955FA"/>
    <w:rsid w:val="00997DB2"/>
    <w:rsid w:val="009A0243"/>
    <w:rsid w:val="009A09E8"/>
    <w:rsid w:val="009A2CFE"/>
    <w:rsid w:val="009A2EC6"/>
    <w:rsid w:val="009B1546"/>
    <w:rsid w:val="009B1A99"/>
    <w:rsid w:val="009B1CE0"/>
    <w:rsid w:val="009B34D8"/>
    <w:rsid w:val="009B3620"/>
    <w:rsid w:val="009B476B"/>
    <w:rsid w:val="009B50D3"/>
    <w:rsid w:val="009B5C87"/>
    <w:rsid w:val="009B6A4D"/>
    <w:rsid w:val="009B6CEC"/>
    <w:rsid w:val="009B71F7"/>
    <w:rsid w:val="009C0733"/>
    <w:rsid w:val="009C1140"/>
    <w:rsid w:val="009C2497"/>
    <w:rsid w:val="009C35C5"/>
    <w:rsid w:val="009C53B7"/>
    <w:rsid w:val="009C6E46"/>
    <w:rsid w:val="009C73EB"/>
    <w:rsid w:val="009D423F"/>
    <w:rsid w:val="009D4E20"/>
    <w:rsid w:val="009D779B"/>
    <w:rsid w:val="009E048E"/>
    <w:rsid w:val="009E3C99"/>
    <w:rsid w:val="009E5064"/>
    <w:rsid w:val="009E55AF"/>
    <w:rsid w:val="009E5F8D"/>
    <w:rsid w:val="009E62EB"/>
    <w:rsid w:val="009E7248"/>
    <w:rsid w:val="009F0B5C"/>
    <w:rsid w:val="009F19B7"/>
    <w:rsid w:val="009F1F4D"/>
    <w:rsid w:val="009F4104"/>
    <w:rsid w:val="009F71C6"/>
    <w:rsid w:val="00A005FE"/>
    <w:rsid w:val="00A05DB9"/>
    <w:rsid w:val="00A072FD"/>
    <w:rsid w:val="00A104CF"/>
    <w:rsid w:val="00A10BDF"/>
    <w:rsid w:val="00A129D2"/>
    <w:rsid w:val="00A12C7A"/>
    <w:rsid w:val="00A12E5B"/>
    <w:rsid w:val="00A1420F"/>
    <w:rsid w:val="00A15733"/>
    <w:rsid w:val="00A163B5"/>
    <w:rsid w:val="00A16661"/>
    <w:rsid w:val="00A16D5D"/>
    <w:rsid w:val="00A215B3"/>
    <w:rsid w:val="00A22364"/>
    <w:rsid w:val="00A233A8"/>
    <w:rsid w:val="00A255E1"/>
    <w:rsid w:val="00A27C5A"/>
    <w:rsid w:val="00A3139A"/>
    <w:rsid w:val="00A3159C"/>
    <w:rsid w:val="00A31AF8"/>
    <w:rsid w:val="00A32A61"/>
    <w:rsid w:val="00A32BDD"/>
    <w:rsid w:val="00A34E0A"/>
    <w:rsid w:val="00A411C5"/>
    <w:rsid w:val="00A41BBC"/>
    <w:rsid w:val="00A42A0E"/>
    <w:rsid w:val="00A44E79"/>
    <w:rsid w:val="00A45425"/>
    <w:rsid w:val="00A46953"/>
    <w:rsid w:val="00A47AA7"/>
    <w:rsid w:val="00A54D44"/>
    <w:rsid w:val="00A566DF"/>
    <w:rsid w:val="00A576F2"/>
    <w:rsid w:val="00A61A13"/>
    <w:rsid w:val="00A62B5E"/>
    <w:rsid w:val="00A64923"/>
    <w:rsid w:val="00A660BB"/>
    <w:rsid w:val="00A739BE"/>
    <w:rsid w:val="00A74E41"/>
    <w:rsid w:val="00A7642B"/>
    <w:rsid w:val="00A77264"/>
    <w:rsid w:val="00A81837"/>
    <w:rsid w:val="00A82B56"/>
    <w:rsid w:val="00A83560"/>
    <w:rsid w:val="00A84185"/>
    <w:rsid w:val="00A84585"/>
    <w:rsid w:val="00A84D1B"/>
    <w:rsid w:val="00A851FF"/>
    <w:rsid w:val="00A85A70"/>
    <w:rsid w:val="00A93815"/>
    <w:rsid w:val="00A95E97"/>
    <w:rsid w:val="00A96D8B"/>
    <w:rsid w:val="00A96E5A"/>
    <w:rsid w:val="00A97D0E"/>
    <w:rsid w:val="00AA07FB"/>
    <w:rsid w:val="00AA1E36"/>
    <w:rsid w:val="00AB2DAA"/>
    <w:rsid w:val="00AB36EC"/>
    <w:rsid w:val="00AB4F4E"/>
    <w:rsid w:val="00AC03A3"/>
    <w:rsid w:val="00AC2CE1"/>
    <w:rsid w:val="00AC63DE"/>
    <w:rsid w:val="00AC6566"/>
    <w:rsid w:val="00AC6607"/>
    <w:rsid w:val="00AC7612"/>
    <w:rsid w:val="00AD043C"/>
    <w:rsid w:val="00AD425F"/>
    <w:rsid w:val="00AD558C"/>
    <w:rsid w:val="00AD5653"/>
    <w:rsid w:val="00AD60F1"/>
    <w:rsid w:val="00AD72C0"/>
    <w:rsid w:val="00AD761F"/>
    <w:rsid w:val="00AD77B7"/>
    <w:rsid w:val="00AE2FF3"/>
    <w:rsid w:val="00AE450E"/>
    <w:rsid w:val="00AE5656"/>
    <w:rsid w:val="00AE6C6F"/>
    <w:rsid w:val="00AE6CF5"/>
    <w:rsid w:val="00AE6DB8"/>
    <w:rsid w:val="00AE7C6E"/>
    <w:rsid w:val="00AE7EE0"/>
    <w:rsid w:val="00AF1207"/>
    <w:rsid w:val="00AF35A5"/>
    <w:rsid w:val="00AF49C7"/>
    <w:rsid w:val="00AF4A86"/>
    <w:rsid w:val="00AF5388"/>
    <w:rsid w:val="00B00060"/>
    <w:rsid w:val="00B02C5B"/>
    <w:rsid w:val="00B0442F"/>
    <w:rsid w:val="00B052FC"/>
    <w:rsid w:val="00B05FAC"/>
    <w:rsid w:val="00B07589"/>
    <w:rsid w:val="00B07671"/>
    <w:rsid w:val="00B1397D"/>
    <w:rsid w:val="00B16FFC"/>
    <w:rsid w:val="00B20471"/>
    <w:rsid w:val="00B209DA"/>
    <w:rsid w:val="00B23D53"/>
    <w:rsid w:val="00B32093"/>
    <w:rsid w:val="00B3540F"/>
    <w:rsid w:val="00B43699"/>
    <w:rsid w:val="00B4552A"/>
    <w:rsid w:val="00B45E5A"/>
    <w:rsid w:val="00B50AB2"/>
    <w:rsid w:val="00B51038"/>
    <w:rsid w:val="00B528A7"/>
    <w:rsid w:val="00B528E9"/>
    <w:rsid w:val="00B52E3B"/>
    <w:rsid w:val="00B54EF0"/>
    <w:rsid w:val="00B5700F"/>
    <w:rsid w:val="00B6028C"/>
    <w:rsid w:val="00B62734"/>
    <w:rsid w:val="00B6373F"/>
    <w:rsid w:val="00B64071"/>
    <w:rsid w:val="00B652C2"/>
    <w:rsid w:val="00B671E8"/>
    <w:rsid w:val="00B67A3A"/>
    <w:rsid w:val="00B67C5E"/>
    <w:rsid w:val="00B71659"/>
    <w:rsid w:val="00B71DED"/>
    <w:rsid w:val="00B7279E"/>
    <w:rsid w:val="00B75562"/>
    <w:rsid w:val="00B75A5D"/>
    <w:rsid w:val="00B7771E"/>
    <w:rsid w:val="00B801CE"/>
    <w:rsid w:val="00B81AFB"/>
    <w:rsid w:val="00B833DE"/>
    <w:rsid w:val="00B8441A"/>
    <w:rsid w:val="00B86B75"/>
    <w:rsid w:val="00B87EBD"/>
    <w:rsid w:val="00B90CE8"/>
    <w:rsid w:val="00B90DB2"/>
    <w:rsid w:val="00B91814"/>
    <w:rsid w:val="00B954CF"/>
    <w:rsid w:val="00B955FC"/>
    <w:rsid w:val="00B95954"/>
    <w:rsid w:val="00BA0119"/>
    <w:rsid w:val="00BA02BB"/>
    <w:rsid w:val="00BA03CE"/>
    <w:rsid w:val="00BA0471"/>
    <w:rsid w:val="00BA5E22"/>
    <w:rsid w:val="00BB0C37"/>
    <w:rsid w:val="00BB0F7F"/>
    <w:rsid w:val="00BB1712"/>
    <w:rsid w:val="00BB5C2E"/>
    <w:rsid w:val="00BC0BBC"/>
    <w:rsid w:val="00BC1EA1"/>
    <w:rsid w:val="00BC2749"/>
    <w:rsid w:val="00BC27A4"/>
    <w:rsid w:val="00BC414C"/>
    <w:rsid w:val="00BC5B72"/>
    <w:rsid w:val="00BC7082"/>
    <w:rsid w:val="00BD0470"/>
    <w:rsid w:val="00BD1ADC"/>
    <w:rsid w:val="00BE190C"/>
    <w:rsid w:val="00BE2F6C"/>
    <w:rsid w:val="00BE4391"/>
    <w:rsid w:val="00BE66A5"/>
    <w:rsid w:val="00BE69EF"/>
    <w:rsid w:val="00BE7710"/>
    <w:rsid w:val="00BF0723"/>
    <w:rsid w:val="00BF0ACD"/>
    <w:rsid w:val="00BF269C"/>
    <w:rsid w:val="00BF2BA5"/>
    <w:rsid w:val="00BF3087"/>
    <w:rsid w:val="00BF4743"/>
    <w:rsid w:val="00BF7DEC"/>
    <w:rsid w:val="00C0022A"/>
    <w:rsid w:val="00C0047C"/>
    <w:rsid w:val="00C009F5"/>
    <w:rsid w:val="00C02686"/>
    <w:rsid w:val="00C03D13"/>
    <w:rsid w:val="00C0536A"/>
    <w:rsid w:val="00C0673F"/>
    <w:rsid w:val="00C13486"/>
    <w:rsid w:val="00C13EC4"/>
    <w:rsid w:val="00C141B5"/>
    <w:rsid w:val="00C17FFA"/>
    <w:rsid w:val="00C20B9A"/>
    <w:rsid w:val="00C225B8"/>
    <w:rsid w:val="00C23CF9"/>
    <w:rsid w:val="00C269A5"/>
    <w:rsid w:val="00C30756"/>
    <w:rsid w:val="00C31D8F"/>
    <w:rsid w:val="00C35515"/>
    <w:rsid w:val="00C364C8"/>
    <w:rsid w:val="00C3719D"/>
    <w:rsid w:val="00C4509B"/>
    <w:rsid w:val="00C45631"/>
    <w:rsid w:val="00C45B3B"/>
    <w:rsid w:val="00C46106"/>
    <w:rsid w:val="00C4664D"/>
    <w:rsid w:val="00C5422B"/>
    <w:rsid w:val="00C57B12"/>
    <w:rsid w:val="00C60E6E"/>
    <w:rsid w:val="00C6361B"/>
    <w:rsid w:val="00C63FC0"/>
    <w:rsid w:val="00C64950"/>
    <w:rsid w:val="00C6598B"/>
    <w:rsid w:val="00C6738C"/>
    <w:rsid w:val="00C679B1"/>
    <w:rsid w:val="00C70CA5"/>
    <w:rsid w:val="00C71548"/>
    <w:rsid w:val="00C718B8"/>
    <w:rsid w:val="00C7218C"/>
    <w:rsid w:val="00C72530"/>
    <w:rsid w:val="00C731A3"/>
    <w:rsid w:val="00C73BBE"/>
    <w:rsid w:val="00C750EA"/>
    <w:rsid w:val="00C75345"/>
    <w:rsid w:val="00C75BF8"/>
    <w:rsid w:val="00C776A8"/>
    <w:rsid w:val="00C80BEE"/>
    <w:rsid w:val="00C8777E"/>
    <w:rsid w:val="00C93D31"/>
    <w:rsid w:val="00C94280"/>
    <w:rsid w:val="00C94E7F"/>
    <w:rsid w:val="00C97048"/>
    <w:rsid w:val="00CA4F8F"/>
    <w:rsid w:val="00CA72F3"/>
    <w:rsid w:val="00CB1261"/>
    <w:rsid w:val="00CB1511"/>
    <w:rsid w:val="00CB154C"/>
    <w:rsid w:val="00CB3C16"/>
    <w:rsid w:val="00CB4066"/>
    <w:rsid w:val="00CB40A8"/>
    <w:rsid w:val="00CB6EC9"/>
    <w:rsid w:val="00CB7145"/>
    <w:rsid w:val="00CC4335"/>
    <w:rsid w:val="00CD0592"/>
    <w:rsid w:val="00CD102C"/>
    <w:rsid w:val="00CD1D20"/>
    <w:rsid w:val="00CD4E4B"/>
    <w:rsid w:val="00CD5B87"/>
    <w:rsid w:val="00CD5D7C"/>
    <w:rsid w:val="00CD6CCC"/>
    <w:rsid w:val="00CD7CBC"/>
    <w:rsid w:val="00CE0AD5"/>
    <w:rsid w:val="00CE1D1F"/>
    <w:rsid w:val="00CE2FF8"/>
    <w:rsid w:val="00CE36C6"/>
    <w:rsid w:val="00CE49F1"/>
    <w:rsid w:val="00CE4B7E"/>
    <w:rsid w:val="00CE4C73"/>
    <w:rsid w:val="00CF02A4"/>
    <w:rsid w:val="00CF0A38"/>
    <w:rsid w:val="00CF11D0"/>
    <w:rsid w:val="00CF12C8"/>
    <w:rsid w:val="00CF23BB"/>
    <w:rsid w:val="00CF362E"/>
    <w:rsid w:val="00CF391D"/>
    <w:rsid w:val="00CF53F0"/>
    <w:rsid w:val="00CF63C6"/>
    <w:rsid w:val="00D00AFB"/>
    <w:rsid w:val="00D010A6"/>
    <w:rsid w:val="00D026B3"/>
    <w:rsid w:val="00D1144B"/>
    <w:rsid w:val="00D11463"/>
    <w:rsid w:val="00D11F95"/>
    <w:rsid w:val="00D1207C"/>
    <w:rsid w:val="00D12CB0"/>
    <w:rsid w:val="00D17B20"/>
    <w:rsid w:val="00D202DB"/>
    <w:rsid w:val="00D24A25"/>
    <w:rsid w:val="00D25F3C"/>
    <w:rsid w:val="00D26EC0"/>
    <w:rsid w:val="00D27251"/>
    <w:rsid w:val="00D30AC9"/>
    <w:rsid w:val="00D316AB"/>
    <w:rsid w:val="00D330AD"/>
    <w:rsid w:val="00D33348"/>
    <w:rsid w:val="00D37097"/>
    <w:rsid w:val="00D37CE3"/>
    <w:rsid w:val="00D37E97"/>
    <w:rsid w:val="00D43AF2"/>
    <w:rsid w:val="00D45DD4"/>
    <w:rsid w:val="00D464D8"/>
    <w:rsid w:val="00D472ED"/>
    <w:rsid w:val="00D4742A"/>
    <w:rsid w:val="00D52D58"/>
    <w:rsid w:val="00D631E8"/>
    <w:rsid w:val="00D634D9"/>
    <w:rsid w:val="00D64316"/>
    <w:rsid w:val="00D679B9"/>
    <w:rsid w:val="00D72319"/>
    <w:rsid w:val="00D72BF3"/>
    <w:rsid w:val="00D77B1D"/>
    <w:rsid w:val="00D813D0"/>
    <w:rsid w:val="00D83BD9"/>
    <w:rsid w:val="00D84B24"/>
    <w:rsid w:val="00D8624B"/>
    <w:rsid w:val="00D91CF9"/>
    <w:rsid w:val="00D94453"/>
    <w:rsid w:val="00D95F94"/>
    <w:rsid w:val="00DA1BA8"/>
    <w:rsid w:val="00DA2491"/>
    <w:rsid w:val="00DA2CC5"/>
    <w:rsid w:val="00DA3AD1"/>
    <w:rsid w:val="00DA4718"/>
    <w:rsid w:val="00DA7ECA"/>
    <w:rsid w:val="00DB1130"/>
    <w:rsid w:val="00DB2BFC"/>
    <w:rsid w:val="00DC14E4"/>
    <w:rsid w:val="00DC1F3C"/>
    <w:rsid w:val="00DC28C7"/>
    <w:rsid w:val="00DC59E7"/>
    <w:rsid w:val="00DC6450"/>
    <w:rsid w:val="00DC7950"/>
    <w:rsid w:val="00DD0D09"/>
    <w:rsid w:val="00DD102F"/>
    <w:rsid w:val="00DD1F5E"/>
    <w:rsid w:val="00DD37A8"/>
    <w:rsid w:val="00DD49B4"/>
    <w:rsid w:val="00DE0E80"/>
    <w:rsid w:val="00DE2D6A"/>
    <w:rsid w:val="00DE5E71"/>
    <w:rsid w:val="00DE7DA8"/>
    <w:rsid w:val="00DF5243"/>
    <w:rsid w:val="00DF6709"/>
    <w:rsid w:val="00E01FE6"/>
    <w:rsid w:val="00E0317B"/>
    <w:rsid w:val="00E061DC"/>
    <w:rsid w:val="00E070C8"/>
    <w:rsid w:val="00E0742E"/>
    <w:rsid w:val="00E12110"/>
    <w:rsid w:val="00E15221"/>
    <w:rsid w:val="00E157E3"/>
    <w:rsid w:val="00E1725C"/>
    <w:rsid w:val="00E17541"/>
    <w:rsid w:val="00E22DC4"/>
    <w:rsid w:val="00E23E99"/>
    <w:rsid w:val="00E25B60"/>
    <w:rsid w:val="00E30097"/>
    <w:rsid w:val="00E30D56"/>
    <w:rsid w:val="00E3502C"/>
    <w:rsid w:val="00E36CE8"/>
    <w:rsid w:val="00E41A3B"/>
    <w:rsid w:val="00E42B87"/>
    <w:rsid w:val="00E439DA"/>
    <w:rsid w:val="00E4581B"/>
    <w:rsid w:val="00E4685F"/>
    <w:rsid w:val="00E46C0C"/>
    <w:rsid w:val="00E47118"/>
    <w:rsid w:val="00E472EA"/>
    <w:rsid w:val="00E52DCC"/>
    <w:rsid w:val="00E557C7"/>
    <w:rsid w:val="00E61B09"/>
    <w:rsid w:val="00E629DB"/>
    <w:rsid w:val="00E64D74"/>
    <w:rsid w:val="00E663FC"/>
    <w:rsid w:val="00E72DB2"/>
    <w:rsid w:val="00E72FE4"/>
    <w:rsid w:val="00E73411"/>
    <w:rsid w:val="00E734A2"/>
    <w:rsid w:val="00E73D3F"/>
    <w:rsid w:val="00E776C3"/>
    <w:rsid w:val="00E86A61"/>
    <w:rsid w:val="00E94E03"/>
    <w:rsid w:val="00E94F1F"/>
    <w:rsid w:val="00E96E43"/>
    <w:rsid w:val="00E973B9"/>
    <w:rsid w:val="00E97C53"/>
    <w:rsid w:val="00EA453F"/>
    <w:rsid w:val="00EA6AE3"/>
    <w:rsid w:val="00EA6B6E"/>
    <w:rsid w:val="00EA749B"/>
    <w:rsid w:val="00EB05AB"/>
    <w:rsid w:val="00EB11EC"/>
    <w:rsid w:val="00EB2BBE"/>
    <w:rsid w:val="00EB3DA3"/>
    <w:rsid w:val="00EB6CFD"/>
    <w:rsid w:val="00EC15A9"/>
    <w:rsid w:val="00EC17F5"/>
    <w:rsid w:val="00EC2968"/>
    <w:rsid w:val="00EC537E"/>
    <w:rsid w:val="00EC5F3F"/>
    <w:rsid w:val="00EC693F"/>
    <w:rsid w:val="00EC78B2"/>
    <w:rsid w:val="00EC7C62"/>
    <w:rsid w:val="00ED0C80"/>
    <w:rsid w:val="00ED1964"/>
    <w:rsid w:val="00ED2C3A"/>
    <w:rsid w:val="00ED4357"/>
    <w:rsid w:val="00ED454F"/>
    <w:rsid w:val="00ED463A"/>
    <w:rsid w:val="00ED6293"/>
    <w:rsid w:val="00ED6CE8"/>
    <w:rsid w:val="00EE32B6"/>
    <w:rsid w:val="00EE4514"/>
    <w:rsid w:val="00EE522B"/>
    <w:rsid w:val="00EE5C71"/>
    <w:rsid w:val="00EE6BE9"/>
    <w:rsid w:val="00EF0FAE"/>
    <w:rsid w:val="00EF11AB"/>
    <w:rsid w:val="00EF57EC"/>
    <w:rsid w:val="00F0003F"/>
    <w:rsid w:val="00F019DA"/>
    <w:rsid w:val="00F02319"/>
    <w:rsid w:val="00F03CA5"/>
    <w:rsid w:val="00F05299"/>
    <w:rsid w:val="00F0602D"/>
    <w:rsid w:val="00F10801"/>
    <w:rsid w:val="00F110EE"/>
    <w:rsid w:val="00F113D9"/>
    <w:rsid w:val="00F11500"/>
    <w:rsid w:val="00F17975"/>
    <w:rsid w:val="00F20858"/>
    <w:rsid w:val="00F208B9"/>
    <w:rsid w:val="00F21EC2"/>
    <w:rsid w:val="00F2297B"/>
    <w:rsid w:val="00F23CB2"/>
    <w:rsid w:val="00F2458C"/>
    <w:rsid w:val="00F25B92"/>
    <w:rsid w:val="00F32970"/>
    <w:rsid w:val="00F33464"/>
    <w:rsid w:val="00F3355E"/>
    <w:rsid w:val="00F34979"/>
    <w:rsid w:val="00F35285"/>
    <w:rsid w:val="00F366E2"/>
    <w:rsid w:val="00F40851"/>
    <w:rsid w:val="00F40A4A"/>
    <w:rsid w:val="00F4179A"/>
    <w:rsid w:val="00F422E0"/>
    <w:rsid w:val="00F428DB"/>
    <w:rsid w:val="00F434C2"/>
    <w:rsid w:val="00F45465"/>
    <w:rsid w:val="00F47480"/>
    <w:rsid w:val="00F47723"/>
    <w:rsid w:val="00F50D94"/>
    <w:rsid w:val="00F5276A"/>
    <w:rsid w:val="00F5331A"/>
    <w:rsid w:val="00F55454"/>
    <w:rsid w:val="00F6007A"/>
    <w:rsid w:val="00F62841"/>
    <w:rsid w:val="00F62921"/>
    <w:rsid w:val="00F6381A"/>
    <w:rsid w:val="00F63B9E"/>
    <w:rsid w:val="00F64BC3"/>
    <w:rsid w:val="00F662DD"/>
    <w:rsid w:val="00F6645B"/>
    <w:rsid w:val="00F66CD1"/>
    <w:rsid w:val="00F73347"/>
    <w:rsid w:val="00F73671"/>
    <w:rsid w:val="00F73992"/>
    <w:rsid w:val="00F75257"/>
    <w:rsid w:val="00F75695"/>
    <w:rsid w:val="00F7682F"/>
    <w:rsid w:val="00F80782"/>
    <w:rsid w:val="00F80A16"/>
    <w:rsid w:val="00F82355"/>
    <w:rsid w:val="00F82918"/>
    <w:rsid w:val="00F838D5"/>
    <w:rsid w:val="00F84B69"/>
    <w:rsid w:val="00F84D52"/>
    <w:rsid w:val="00F860D8"/>
    <w:rsid w:val="00F90B48"/>
    <w:rsid w:val="00F90D3D"/>
    <w:rsid w:val="00F94164"/>
    <w:rsid w:val="00F96125"/>
    <w:rsid w:val="00FA1CD2"/>
    <w:rsid w:val="00FA5294"/>
    <w:rsid w:val="00FA545D"/>
    <w:rsid w:val="00FA6431"/>
    <w:rsid w:val="00FA7285"/>
    <w:rsid w:val="00FB106B"/>
    <w:rsid w:val="00FB3F85"/>
    <w:rsid w:val="00FB4CB3"/>
    <w:rsid w:val="00FB7D24"/>
    <w:rsid w:val="00FC25BC"/>
    <w:rsid w:val="00FC296E"/>
    <w:rsid w:val="00FC32E3"/>
    <w:rsid w:val="00FC4378"/>
    <w:rsid w:val="00FC6FB3"/>
    <w:rsid w:val="00FD08DF"/>
    <w:rsid w:val="00FD1E87"/>
    <w:rsid w:val="00FD3B41"/>
    <w:rsid w:val="00FD41DD"/>
    <w:rsid w:val="00FD43D3"/>
    <w:rsid w:val="00FD6010"/>
    <w:rsid w:val="00FD6A65"/>
    <w:rsid w:val="00FD7330"/>
    <w:rsid w:val="00FD79FF"/>
    <w:rsid w:val="00FE01BA"/>
    <w:rsid w:val="00FE312A"/>
    <w:rsid w:val="00FE401F"/>
    <w:rsid w:val="00FE44F5"/>
    <w:rsid w:val="00FE6165"/>
    <w:rsid w:val="00FE639C"/>
    <w:rsid w:val="00FF3B28"/>
    <w:rsid w:val="00FF466A"/>
    <w:rsid w:val="00FF69CA"/>
    <w:rsid w:val="00FF75F8"/>
    <w:rsid w:val="00FF7719"/>
    <w:rsid w:val="00FF79B6"/>
    <w:rsid w:val="00FF7D8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0F4426"/>
  <w15:docId w15:val="{19601707-6E92-4220-B716-3C86A4B5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608"/>
    <w:rPr>
      <w:rFonts w:ascii="Arial" w:hAnsi="Arial"/>
      <w:color w:val="000000"/>
      <w:sz w:val="22"/>
    </w:rPr>
  </w:style>
  <w:style w:type="paragraph" w:styleId="Heading1">
    <w:name w:val="heading 1"/>
    <w:aliases w:val="IEA_Heading 1_Report title"/>
    <w:basedOn w:val="Normal"/>
    <w:next w:val="Normal"/>
    <w:link w:val="Heading1Char"/>
    <w:uiPriority w:val="9"/>
    <w:qFormat/>
    <w:rsid w:val="00460B44"/>
    <w:pPr>
      <w:keepNext/>
      <w:spacing w:before="1800" w:after="200" w:line="264" w:lineRule="auto"/>
      <w:outlineLvl w:val="0"/>
    </w:pPr>
    <w:rPr>
      <w:b/>
      <w:color w:val="1F497D"/>
      <w:sz w:val="68"/>
      <w:szCs w:val="68"/>
    </w:rPr>
  </w:style>
  <w:style w:type="paragraph" w:styleId="Heading2">
    <w:name w:val="heading 2"/>
    <w:aliases w:val="IEA_Heading 2_Page title,IEA_Heading 2_Sub title"/>
    <w:basedOn w:val="Normal"/>
    <w:next w:val="Normal"/>
    <w:link w:val="Heading2Char"/>
    <w:uiPriority w:val="9"/>
    <w:unhideWhenUsed/>
    <w:qFormat/>
    <w:rsid w:val="00B528E9"/>
    <w:pPr>
      <w:keepNext/>
      <w:spacing w:after="800" w:line="264" w:lineRule="auto"/>
      <w:outlineLvl w:val="1"/>
    </w:pPr>
    <w:rPr>
      <w:b/>
      <w:color w:val="1F497D"/>
      <w:sz w:val="52"/>
      <w:szCs w:val="38"/>
    </w:rPr>
  </w:style>
  <w:style w:type="paragraph" w:styleId="Heading3">
    <w:name w:val="heading 3"/>
    <w:aliases w:val="IEA_Heading 3_Anchor"/>
    <w:basedOn w:val="Normal"/>
    <w:next w:val="Normal"/>
    <w:link w:val="Heading3Char"/>
    <w:uiPriority w:val="9"/>
    <w:unhideWhenUsed/>
    <w:qFormat/>
    <w:rsid w:val="00062914"/>
    <w:pPr>
      <w:keepNext/>
      <w:spacing w:before="360" w:after="120"/>
      <w:outlineLvl w:val="2"/>
    </w:pPr>
    <w:rPr>
      <w:b/>
      <w:color w:val="1F497D"/>
      <w:sz w:val="40"/>
      <w:szCs w:val="32"/>
    </w:rPr>
  </w:style>
  <w:style w:type="paragraph" w:styleId="Heading4">
    <w:name w:val="heading 4"/>
    <w:aliases w:val="IEA_Heading 4_Section title"/>
    <w:basedOn w:val="Normal"/>
    <w:next w:val="Normal"/>
    <w:link w:val="Heading4Char"/>
    <w:uiPriority w:val="9"/>
    <w:unhideWhenUsed/>
    <w:qFormat/>
    <w:rsid w:val="002101F9"/>
    <w:pPr>
      <w:keepNext/>
      <w:spacing w:before="360" w:after="120" w:line="254" w:lineRule="auto"/>
      <w:outlineLvl w:val="3"/>
    </w:pPr>
    <w:rPr>
      <w:b/>
      <w:color w:val="1F497D"/>
      <w:sz w:val="32"/>
      <w:szCs w:val="22"/>
    </w:rPr>
  </w:style>
  <w:style w:type="paragraph" w:styleId="Heading5">
    <w:name w:val="heading 5"/>
    <w:aliases w:val="IEA_Heading 5"/>
    <w:basedOn w:val="Normal"/>
    <w:next w:val="Normal"/>
    <w:link w:val="Heading5Char"/>
    <w:uiPriority w:val="9"/>
    <w:unhideWhenUsed/>
    <w:qFormat/>
    <w:rsid w:val="00062914"/>
    <w:pPr>
      <w:keepNext/>
      <w:spacing w:before="360" w:after="120" w:line="254" w:lineRule="auto"/>
      <w:ind w:left="851"/>
      <w:outlineLvl w:val="4"/>
    </w:pPr>
    <w:rPr>
      <w:color w:val="1F497D"/>
      <w:sz w:val="28"/>
      <w:szCs w:val="22"/>
    </w:rPr>
  </w:style>
  <w:style w:type="paragraph" w:styleId="Heading6">
    <w:name w:val="heading 6"/>
    <w:aliases w:val="IEA_Heading 6"/>
    <w:basedOn w:val="Normal"/>
    <w:next w:val="Normal"/>
    <w:link w:val="Heading6Char"/>
    <w:uiPriority w:val="9"/>
    <w:unhideWhenUsed/>
    <w:qFormat/>
    <w:rsid w:val="00062914"/>
    <w:pPr>
      <w:keepNext/>
      <w:spacing w:before="360" w:after="120" w:line="254" w:lineRule="auto"/>
      <w:ind w:left="851"/>
      <w:outlineLvl w:val="5"/>
    </w:pPr>
    <w:rPr>
      <w:i/>
      <w:color w:val="1F497D"/>
      <w:sz w:val="24"/>
      <w:szCs w:val="22"/>
    </w:rPr>
  </w:style>
  <w:style w:type="paragraph" w:styleId="Heading7">
    <w:name w:val="heading 7"/>
    <w:basedOn w:val="Normal"/>
    <w:next w:val="Normal"/>
    <w:link w:val="Heading7Char"/>
    <w:uiPriority w:val="9"/>
    <w:semiHidden/>
    <w:unhideWhenUsed/>
    <w:qFormat/>
    <w:rsid w:val="001F2490"/>
    <w:pPr>
      <w:keepNext/>
      <w:keepLines/>
      <w:spacing w:before="40"/>
      <w:outlineLvl w:val="6"/>
    </w:pPr>
    <w:rPr>
      <w:rFonts w:ascii="Cambria" w:eastAsia="Times New Roman" w:hAnsi="Cambria"/>
      <w:i/>
      <w:iCs/>
      <w:color w:val="243F60"/>
    </w:rPr>
  </w:style>
  <w:style w:type="paragraph" w:styleId="Heading8">
    <w:name w:val="heading 8"/>
    <w:basedOn w:val="Normal"/>
    <w:next w:val="Normal"/>
    <w:link w:val="Heading8Char"/>
    <w:uiPriority w:val="9"/>
    <w:semiHidden/>
    <w:unhideWhenUsed/>
    <w:qFormat/>
    <w:rsid w:val="001F2490"/>
    <w:pPr>
      <w:keepNext/>
      <w:keepLines/>
      <w:spacing w:before="4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semiHidden/>
    <w:unhideWhenUsed/>
    <w:qFormat/>
    <w:rsid w:val="001F2490"/>
    <w:pPr>
      <w:keepNext/>
      <w:keepLines/>
      <w:spacing w:before="4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EA_Heading 1_Report title Char"/>
    <w:link w:val="Heading1"/>
    <w:uiPriority w:val="9"/>
    <w:rsid w:val="00460B44"/>
    <w:rPr>
      <w:rFonts w:ascii="Arial" w:eastAsia="Calibri" w:hAnsi="Arial"/>
      <w:b/>
      <w:color w:val="1F497D"/>
      <w:sz w:val="68"/>
      <w:szCs w:val="68"/>
    </w:rPr>
  </w:style>
  <w:style w:type="character" w:customStyle="1" w:styleId="Heading2Char">
    <w:name w:val="Heading 2 Char"/>
    <w:aliases w:val="IEA_Heading 2_Page title Char,IEA_Heading 2_Sub title Char"/>
    <w:link w:val="Heading2"/>
    <w:uiPriority w:val="9"/>
    <w:rsid w:val="00B528E9"/>
    <w:rPr>
      <w:rFonts w:ascii="Arial" w:eastAsia="Calibri" w:hAnsi="Arial"/>
      <w:b/>
      <w:color w:val="1F497D"/>
      <w:sz w:val="52"/>
      <w:szCs w:val="38"/>
    </w:rPr>
  </w:style>
  <w:style w:type="character" w:customStyle="1" w:styleId="Heading3Char">
    <w:name w:val="Heading 3 Char"/>
    <w:aliases w:val="IEA_Heading 3_Anchor Char"/>
    <w:link w:val="Heading3"/>
    <w:uiPriority w:val="9"/>
    <w:rsid w:val="00062914"/>
    <w:rPr>
      <w:rFonts w:ascii="Arial" w:hAnsi="Arial"/>
      <w:b/>
      <w:color w:val="1F497D"/>
      <w:sz w:val="40"/>
      <w:szCs w:val="32"/>
    </w:rPr>
  </w:style>
  <w:style w:type="character" w:customStyle="1" w:styleId="Heading4Char">
    <w:name w:val="Heading 4 Char"/>
    <w:aliases w:val="IEA_Heading 4_Section title Char"/>
    <w:link w:val="Heading4"/>
    <w:uiPriority w:val="9"/>
    <w:rsid w:val="002101F9"/>
    <w:rPr>
      <w:rFonts w:ascii="Arial" w:hAnsi="Arial"/>
      <w:b/>
      <w:color w:val="1F497D"/>
      <w:sz w:val="32"/>
      <w:szCs w:val="22"/>
    </w:rPr>
  </w:style>
  <w:style w:type="character" w:customStyle="1" w:styleId="Heading5Char">
    <w:name w:val="Heading 5 Char"/>
    <w:aliases w:val="IEA_Heading 5 Char"/>
    <w:link w:val="Heading5"/>
    <w:uiPriority w:val="9"/>
    <w:rsid w:val="00062914"/>
    <w:rPr>
      <w:rFonts w:ascii="Arial" w:hAnsi="Arial"/>
      <w:color w:val="1F497D"/>
      <w:sz w:val="28"/>
      <w:szCs w:val="22"/>
    </w:rPr>
  </w:style>
  <w:style w:type="character" w:customStyle="1" w:styleId="Heading6Char">
    <w:name w:val="Heading 6 Char"/>
    <w:aliases w:val="IEA_Heading 6 Char"/>
    <w:link w:val="Heading6"/>
    <w:uiPriority w:val="9"/>
    <w:rsid w:val="00062914"/>
    <w:rPr>
      <w:rFonts w:ascii="Arial" w:hAnsi="Arial"/>
      <w:i/>
      <w:color w:val="1F497D"/>
      <w:sz w:val="24"/>
      <w:szCs w:val="22"/>
    </w:rPr>
  </w:style>
  <w:style w:type="paragraph" w:styleId="BalloonText">
    <w:name w:val="Balloon Text"/>
    <w:basedOn w:val="Normal"/>
    <w:link w:val="BalloonTextChar"/>
    <w:uiPriority w:val="99"/>
    <w:semiHidden/>
    <w:unhideWhenUsed/>
    <w:rsid w:val="0081289A"/>
    <w:rPr>
      <w:rFonts w:ascii="Tahoma" w:hAnsi="Tahoma" w:cs="Tahoma"/>
      <w:sz w:val="16"/>
      <w:szCs w:val="16"/>
    </w:rPr>
  </w:style>
  <w:style w:type="character" w:customStyle="1" w:styleId="BalloonTextChar">
    <w:name w:val="Balloon Text Char"/>
    <w:link w:val="BalloonText"/>
    <w:uiPriority w:val="99"/>
    <w:semiHidden/>
    <w:rsid w:val="0081289A"/>
    <w:rPr>
      <w:rFonts w:ascii="Tahoma" w:hAnsi="Tahoma" w:cs="Tahoma"/>
      <w:sz w:val="16"/>
      <w:szCs w:val="16"/>
    </w:rPr>
  </w:style>
  <w:style w:type="character" w:styleId="Hyperlink">
    <w:name w:val="Hyperlink"/>
    <w:uiPriority w:val="99"/>
    <w:unhideWhenUsed/>
    <w:rsid w:val="00365142"/>
    <w:rPr>
      <w:color w:val="0000FF"/>
      <w:u w:val="single"/>
    </w:rPr>
  </w:style>
  <w:style w:type="paragraph" w:customStyle="1" w:styleId="IEABodyText">
    <w:name w:val="IEA_Body Text"/>
    <w:basedOn w:val="Normal"/>
    <w:link w:val="IEABodyTextChar"/>
    <w:qFormat/>
    <w:rsid w:val="00AD72C0"/>
    <w:pPr>
      <w:spacing w:before="20" w:after="200" w:line="300" w:lineRule="auto"/>
      <w:ind w:left="851"/>
      <w:jc w:val="both"/>
    </w:pPr>
    <w:rPr>
      <w:szCs w:val="21"/>
    </w:rPr>
  </w:style>
  <w:style w:type="character" w:customStyle="1" w:styleId="IEABodyTextChar">
    <w:name w:val="IEA_Body Text Char"/>
    <w:link w:val="IEABodyText"/>
    <w:rsid w:val="00AD72C0"/>
    <w:rPr>
      <w:rFonts w:ascii="Arial" w:hAnsi="Arial"/>
      <w:color w:val="000000"/>
      <w:sz w:val="22"/>
      <w:szCs w:val="21"/>
    </w:rPr>
  </w:style>
  <w:style w:type="paragraph" w:styleId="FootnoteText">
    <w:name w:val="footnote text"/>
    <w:basedOn w:val="Normal"/>
    <w:link w:val="FootnoteTextChar"/>
    <w:uiPriority w:val="99"/>
    <w:unhideWhenUsed/>
    <w:qFormat/>
    <w:rsid w:val="00604FFD"/>
  </w:style>
  <w:style w:type="character" w:customStyle="1" w:styleId="FootnoteTextChar">
    <w:name w:val="Footnote Text Char"/>
    <w:basedOn w:val="DefaultParagraphFont"/>
    <w:link w:val="FootnoteText"/>
    <w:uiPriority w:val="99"/>
    <w:rsid w:val="00604FFD"/>
  </w:style>
  <w:style w:type="paragraph" w:customStyle="1" w:styleId="IEABodyBulletTextlevel1">
    <w:name w:val="IEA_Body_Bullet Text_level1"/>
    <w:basedOn w:val="Normal"/>
    <w:link w:val="IEABodyBulletTextlevel1Char"/>
    <w:qFormat/>
    <w:rsid w:val="0054194E"/>
    <w:pPr>
      <w:numPr>
        <w:numId w:val="1"/>
      </w:numPr>
      <w:spacing w:after="60" w:line="300" w:lineRule="auto"/>
      <w:ind w:left="1208" w:hanging="357"/>
      <w:jc w:val="both"/>
    </w:pPr>
    <w:rPr>
      <w:sz w:val="21"/>
      <w:szCs w:val="22"/>
    </w:rPr>
  </w:style>
  <w:style w:type="character" w:customStyle="1" w:styleId="IEABodyBulletTextlevel1Char">
    <w:name w:val="IEA_Body_Bullet Text_level1 Char"/>
    <w:link w:val="IEABodyBulletTextlevel1"/>
    <w:rsid w:val="0054194E"/>
    <w:rPr>
      <w:rFonts w:ascii="Arial" w:hAnsi="Arial"/>
      <w:color w:val="000000"/>
      <w:sz w:val="21"/>
      <w:szCs w:val="22"/>
    </w:rPr>
  </w:style>
  <w:style w:type="character" w:styleId="FootnoteReference">
    <w:name w:val="footnote reference"/>
    <w:uiPriority w:val="99"/>
    <w:unhideWhenUsed/>
    <w:qFormat/>
    <w:rsid w:val="00604FFD"/>
    <w:rPr>
      <w:vertAlign w:val="superscript"/>
    </w:rPr>
  </w:style>
  <w:style w:type="table" w:styleId="TableGrid">
    <w:name w:val="Table Grid"/>
    <w:basedOn w:val="TableNormal"/>
    <w:uiPriority w:val="39"/>
    <w:rsid w:val="00402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ABoxBulletText">
    <w:name w:val="IEA_Box_Bullet Text"/>
    <w:basedOn w:val="Normal"/>
    <w:link w:val="IEABoxBulletTextChar"/>
    <w:qFormat/>
    <w:rsid w:val="00476BB0"/>
    <w:pPr>
      <w:numPr>
        <w:numId w:val="2"/>
      </w:numPr>
      <w:spacing w:before="80" w:after="80" w:line="288" w:lineRule="auto"/>
      <w:ind w:left="578" w:right="261" w:hanging="357"/>
      <w:jc w:val="both"/>
    </w:pPr>
    <w:rPr>
      <w:szCs w:val="22"/>
    </w:rPr>
  </w:style>
  <w:style w:type="character" w:customStyle="1" w:styleId="IEABoxBulletTextChar">
    <w:name w:val="IEA_Box_Bullet Text Char"/>
    <w:link w:val="IEABoxBulletText"/>
    <w:rsid w:val="00476BB0"/>
    <w:rPr>
      <w:rFonts w:ascii="Arial" w:hAnsi="Arial"/>
      <w:color w:val="000000"/>
      <w:sz w:val="22"/>
      <w:szCs w:val="22"/>
    </w:rPr>
  </w:style>
  <w:style w:type="table" w:styleId="LightShading">
    <w:name w:val="Light Shading"/>
    <w:basedOn w:val="TableNormal"/>
    <w:uiPriority w:val="60"/>
    <w:rsid w:val="0040290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EABoxFigureTitle">
    <w:name w:val="IEA_Box_Figure Title"/>
    <w:basedOn w:val="Normal"/>
    <w:link w:val="IEABoxFigureTitleChar"/>
    <w:qFormat/>
    <w:rsid w:val="00B75A5D"/>
    <w:pPr>
      <w:keepNext/>
      <w:tabs>
        <w:tab w:val="left" w:pos="766"/>
      </w:tabs>
      <w:spacing w:before="240" w:after="160"/>
      <w:ind w:left="1077" w:right="261" w:hanging="856"/>
      <w:jc w:val="both"/>
    </w:pPr>
    <w:rPr>
      <w:b/>
      <w:szCs w:val="21"/>
    </w:rPr>
  </w:style>
  <w:style w:type="character" w:customStyle="1" w:styleId="IEABoxFigureTitleChar">
    <w:name w:val="IEA_Box_Figure Title Char"/>
    <w:link w:val="IEABoxFigureTitle"/>
    <w:rsid w:val="00B75A5D"/>
    <w:rPr>
      <w:rFonts w:ascii="Arial" w:hAnsi="Arial"/>
      <w:b/>
      <w:color w:val="000000"/>
      <w:sz w:val="22"/>
      <w:szCs w:val="21"/>
    </w:rPr>
  </w:style>
  <w:style w:type="paragraph" w:customStyle="1" w:styleId="IEABoxText">
    <w:name w:val="IEA_Box_Text"/>
    <w:basedOn w:val="Normal"/>
    <w:link w:val="IEABoxTextChar"/>
    <w:qFormat/>
    <w:rsid w:val="00476BB0"/>
    <w:pPr>
      <w:spacing w:before="20" w:after="120" w:line="288" w:lineRule="auto"/>
      <w:ind w:left="221" w:right="261"/>
      <w:jc w:val="both"/>
    </w:pPr>
  </w:style>
  <w:style w:type="character" w:customStyle="1" w:styleId="IEABoxTextChar">
    <w:name w:val="IEA_Box_Text Char"/>
    <w:link w:val="IEABoxText"/>
    <w:rsid w:val="00476BB0"/>
    <w:rPr>
      <w:rFonts w:ascii="Arial" w:hAnsi="Arial"/>
      <w:color w:val="000000"/>
      <w:sz w:val="22"/>
    </w:rPr>
  </w:style>
  <w:style w:type="paragraph" w:customStyle="1" w:styleId="IEABoxSources">
    <w:name w:val="IEA_Box_Sources"/>
    <w:basedOn w:val="IEABoxText"/>
    <w:link w:val="IEABoxSourcesChar"/>
    <w:qFormat/>
    <w:rsid w:val="008A19CD"/>
    <w:pPr>
      <w:spacing w:before="120" w:line="240" w:lineRule="auto"/>
      <w:jc w:val="left"/>
    </w:pPr>
    <w:rPr>
      <w:sz w:val="15"/>
      <w:szCs w:val="15"/>
    </w:rPr>
  </w:style>
  <w:style w:type="character" w:customStyle="1" w:styleId="IEABoxSourcesChar">
    <w:name w:val="IEA_Box_Sources Char"/>
    <w:link w:val="IEABoxSources"/>
    <w:rsid w:val="008A19CD"/>
    <w:rPr>
      <w:rFonts w:ascii="Arial" w:eastAsia="Calibri" w:hAnsi="Arial"/>
      <w:color w:val="000000"/>
      <w:sz w:val="15"/>
      <w:szCs w:val="15"/>
    </w:rPr>
  </w:style>
  <w:style w:type="paragraph" w:customStyle="1" w:styleId="IEABoxTitle">
    <w:name w:val="IEA_Box_Title"/>
    <w:basedOn w:val="IEABoxText"/>
    <w:next w:val="IEABoxText"/>
    <w:link w:val="IEABoxTitleChar"/>
    <w:qFormat/>
    <w:rsid w:val="00476BB0"/>
    <w:pPr>
      <w:spacing w:before="120"/>
      <w:jc w:val="left"/>
    </w:pPr>
    <w:rPr>
      <w:b/>
    </w:rPr>
  </w:style>
  <w:style w:type="character" w:customStyle="1" w:styleId="IEABoxTitleChar">
    <w:name w:val="IEA_Box_Title Char"/>
    <w:link w:val="IEABoxTitle"/>
    <w:rsid w:val="00476BB0"/>
    <w:rPr>
      <w:rFonts w:ascii="Arial" w:hAnsi="Arial"/>
      <w:b/>
      <w:color w:val="000000"/>
      <w:sz w:val="22"/>
    </w:rPr>
  </w:style>
  <w:style w:type="paragraph" w:customStyle="1" w:styleId="IEAFootnotes">
    <w:name w:val="IEA_Footnotes"/>
    <w:basedOn w:val="IEAReference"/>
    <w:link w:val="IEAFootnotesChar"/>
    <w:qFormat/>
    <w:rsid w:val="009B1CE0"/>
    <w:pPr>
      <w:spacing w:before="0" w:after="0"/>
      <w:ind w:left="0" w:firstLine="0"/>
      <w:jc w:val="both"/>
    </w:pPr>
    <w:rPr>
      <w:color w:val="808080"/>
      <w:sz w:val="16"/>
    </w:rPr>
  </w:style>
  <w:style w:type="paragraph" w:customStyle="1" w:styleId="IEAReference">
    <w:name w:val="IEA_Reference"/>
    <w:basedOn w:val="Normal"/>
    <w:link w:val="IEAReferenceChar"/>
    <w:rsid w:val="00D813D0"/>
    <w:pPr>
      <w:spacing w:before="100" w:after="100" w:line="264" w:lineRule="auto"/>
      <w:ind w:left="567" w:hanging="567"/>
    </w:pPr>
    <w:rPr>
      <w:sz w:val="21"/>
      <w:szCs w:val="22"/>
    </w:rPr>
  </w:style>
  <w:style w:type="character" w:customStyle="1" w:styleId="IEAReferenceChar">
    <w:name w:val="IEA_Reference Char"/>
    <w:link w:val="IEAReference"/>
    <w:rsid w:val="00D813D0"/>
    <w:rPr>
      <w:rFonts w:ascii="Arial" w:hAnsi="Arial"/>
      <w:color w:val="000000"/>
      <w:sz w:val="21"/>
      <w:szCs w:val="22"/>
    </w:rPr>
  </w:style>
  <w:style w:type="character" w:customStyle="1" w:styleId="IEAFootnotesChar">
    <w:name w:val="IEA_Footnotes Char"/>
    <w:link w:val="IEAFootnotes"/>
    <w:rsid w:val="009B1CE0"/>
    <w:rPr>
      <w:rFonts w:ascii="Arial" w:eastAsia="Calibri" w:hAnsi="Arial"/>
      <w:color w:val="808080"/>
      <w:sz w:val="16"/>
      <w:szCs w:val="22"/>
    </w:rPr>
  </w:style>
  <w:style w:type="paragraph" w:customStyle="1" w:styleId="IEAFigureSubtitle">
    <w:name w:val="IEA_Figure_Subtitle"/>
    <w:basedOn w:val="Normal"/>
    <w:next w:val="IEABodyText"/>
    <w:link w:val="IEAFigureSubtitleChar"/>
    <w:qFormat/>
    <w:rsid w:val="009B1CE0"/>
    <w:pPr>
      <w:pBdr>
        <w:bottom w:val="single" w:sz="4" w:space="5" w:color="1F497D"/>
      </w:pBdr>
      <w:spacing w:before="240" w:after="400"/>
    </w:pPr>
    <w:rPr>
      <w:b/>
      <w:color w:val="1F497D"/>
      <w:szCs w:val="21"/>
    </w:rPr>
  </w:style>
  <w:style w:type="character" w:customStyle="1" w:styleId="IEAFigureSubtitleChar">
    <w:name w:val="IEA_Figure_Subtitle Char"/>
    <w:link w:val="IEAFigureSubtitle"/>
    <w:rsid w:val="009B1CE0"/>
    <w:rPr>
      <w:rFonts w:ascii="Arial" w:eastAsia="Calibri" w:hAnsi="Arial"/>
      <w:b/>
      <w:color w:val="1F497D"/>
      <w:szCs w:val="21"/>
    </w:rPr>
  </w:style>
  <w:style w:type="paragraph" w:customStyle="1" w:styleId="IEAFigureTitle">
    <w:name w:val="IEA_Figure_Title"/>
    <w:basedOn w:val="Normal"/>
    <w:next w:val="Normal"/>
    <w:link w:val="IEAFigureTitleChar"/>
    <w:qFormat/>
    <w:rsid w:val="00044FBF"/>
    <w:pPr>
      <w:keepNext/>
      <w:pBdr>
        <w:top w:val="single" w:sz="4" w:space="3" w:color="1F497D"/>
      </w:pBdr>
      <w:spacing w:before="360" w:after="160"/>
    </w:pPr>
    <w:rPr>
      <w:b/>
      <w:color w:val="1F497D"/>
      <w:sz w:val="21"/>
    </w:rPr>
  </w:style>
  <w:style w:type="character" w:customStyle="1" w:styleId="IEAFigureTitleChar">
    <w:name w:val="IEA_Figure_Title Char"/>
    <w:link w:val="IEAFigureTitle"/>
    <w:rsid w:val="00044FBF"/>
    <w:rPr>
      <w:rFonts w:ascii="Arial" w:hAnsi="Arial"/>
      <w:b/>
      <w:color w:val="1F497D"/>
      <w:sz w:val="21"/>
    </w:rPr>
  </w:style>
  <w:style w:type="paragraph" w:customStyle="1" w:styleId="IEASources">
    <w:name w:val="IEA_Sources"/>
    <w:basedOn w:val="Normal"/>
    <w:link w:val="IEASourcesChar"/>
    <w:qFormat/>
    <w:rsid w:val="009B1CE0"/>
    <w:pPr>
      <w:spacing w:before="40"/>
    </w:pPr>
    <w:rPr>
      <w:rFonts w:eastAsia="Malgun Gothic"/>
      <w:color w:val="1F497D"/>
      <w:sz w:val="16"/>
      <w:szCs w:val="16"/>
    </w:rPr>
  </w:style>
  <w:style w:type="character" w:customStyle="1" w:styleId="IEASourcesChar">
    <w:name w:val="IEA_Sources Char"/>
    <w:link w:val="IEASources"/>
    <w:rsid w:val="009B1CE0"/>
    <w:rPr>
      <w:rFonts w:ascii="Arial" w:eastAsia="Malgun Gothic" w:hAnsi="Arial"/>
      <w:color w:val="1F497D"/>
      <w:sz w:val="16"/>
      <w:szCs w:val="16"/>
    </w:rPr>
  </w:style>
  <w:style w:type="paragraph" w:customStyle="1" w:styleId="IEATableTitle">
    <w:name w:val="IEA_Table_Title"/>
    <w:basedOn w:val="IEAFigureTitle"/>
    <w:next w:val="Normal"/>
    <w:link w:val="IEATableTitleChar"/>
    <w:qFormat/>
    <w:rsid w:val="00044FBF"/>
    <w:pPr>
      <w:tabs>
        <w:tab w:val="left" w:pos="1134"/>
      </w:tabs>
      <w:spacing w:line="252" w:lineRule="auto"/>
    </w:pPr>
    <w:rPr>
      <w:shd w:val="clear" w:color="auto" w:fill="FFFFFF"/>
    </w:rPr>
  </w:style>
  <w:style w:type="character" w:customStyle="1" w:styleId="IEATableTitleChar">
    <w:name w:val="IEA_Table_Title Char"/>
    <w:link w:val="IEATableTitle"/>
    <w:rsid w:val="00044FBF"/>
    <w:rPr>
      <w:rFonts w:ascii="Arial" w:hAnsi="Arial"/>
      <w:b/>
      <w:color w:val="1F497D"/>
      <w:sz w:val="21"/>
    </w:rPr>
  </w:style>
  <w:style w:type="character" w:styleId="CommentReference">
    <w:name w:val="annotation reference"/>
    <w:uiPriority w:val="99"/>
    <w:semiHidden/>
    <w:unhideWhenUsed/>
    <w:rsid w:val="007A5755"/>
    <w:rPr>
      <w:sz w:val="16"/>
      <w:szCs w:val="16"/>
    </w:rPr>
  </w:style>
  <w:style w:type="paragraph" w:styleId="CommentText">
    <w:name w:val="annotation text"/>
    <w:basedOn w:val="Normal"/>
    <w:link w:val="CommentTextChar"/>
    <w:uiPriority w:val="99"/>
    <w:unhideWhenUsed/>
    <w:rsid w:val="007A5755"/>
  </w:style>
  <w:style w:type="character" w:customStyle="1" w:styleId="CommentTextChar">
    <w:name w:val="Comment Text Char"/>
    <w:basedOn w:val="DefaultParagraphFont"/>
    <w:link w:val="CommentText"/>
    <w:uiPriority w:val="99"/>
    <w:rsid w:val="007A5755"/>
  </w:style>
  <w:style w:type="paragraph" w:styleId="CommentSubject">
    <w:name w:val="annotation subject"/>
    <w:basedOn w:val="CommentText"/>
    <w:next w:val="CommentText"/>
    <w:link w:val="CommentSubjectChar"/>
    <w:uiPriority w:val="99"/>
    <w:semiHidden/>
    <w:unhideWhenUsed/>
    <w:rsid w:val="007A5755"/>
    <w:rPr>
      <w:b/>
      <w:bCs/>
    </w:rPr>
  </w:style>
  <w:style w:type="character" w:customStyle="1" w:styleId="CommentSubjectChar">
    <w:name w:val="Comment Subject Char"/>
    <w:link w:val="CommentSubject"/>
    <w:uiPriority w:val="99"/>
    <w:semiHidden/>
    <w:rsid w:val="007A5755"/>
    <w:rPr>
      <w:b/>
      <w:bCs/>
    </w:rPr>
  </w:style>
  <w:style w:type="paragraph" w:styleId="Header">
    <w:name w:val="header"/>
    <w:aliases w:val="IEA_Header"/>
    <w:basedOn w:val="Normal"/>
    <w:link w:val="HeaderChar"/>
    <w:uiPriority w:val="99"/>
    <w:unhideWhenUsed/>
    <w:rsid w:val="00357A46"/>
    <w:pPr>
      <w:tabs>
        <w:tab w:val="right" w:pos="8789"/>
      </w:tabs>
      <w:spacing w:line="264" w:lineRule="auto"/>
      <w:outlineLvl w:val="1"/>
    </w:pPr>
    <w:rPr>
      <w:color w:val="A6A6A6"/>
      <w:sz w:val="16"/>
      <w:szCs w:val="16"/>
    </w:rPr>
  </w:style>
  <w:style w:type="character" w:customStyle="1" w:styleId="HeaderChar">
    <w:name w:val="Header Char"/>
    <w:aliases w:val="IEA_Header Char"/>
    <w:link w:val="Header"/>
    <w:uiPriority w:val="99"/>
    <w:rsid w:val="00357A46"/>
    <w:rPr>
      <w:rFonts w:ascii="Arial" w:eastAsia="Calibri" w:hAnsi="Arial"/>
      <w:color w:val="A6A6A6"/>
      <w:sz w:val="16"/>
      <w:szCs w:val="16"/>
    </w:rPr>
  </w:style>
  <w:style w:type="paragraph" w:styleId="Footer">
    <w:name w:val="footer"/>
    <w:aliases w:val="IEA_Footer"/>
    <w:basedOn w:val="Normal"/>
    <w:link w:val="FooterChar"/>
    <w:uiPriority w:val="99"/>
    <w:unhideWhenUsed/>
    <w:rsid w:val="00357A46"/>
    <w:pPr>
      <w:tabs>
        <w:tab w:val="right" w:pos="8931"/>
      </w:tabs>
      <w:spacing w:before="120" w:line="264" w:lineRule="auto"/>
      <w:jc w:val="center"/>
      <w:outlineLvl w:val="1"/>
    </w:pPr>
    <w:rPr>
      <w:smallCaps/>
      <w:sz w:val="16"/>
      <w:szCs w:val="16"/>
    </w:rPr>
  </w:style>
  <w:style w:type="character" w:customStyle="1" w:styleId="FooterChar">
    <w:name w:val="Footer Char"/>
    <w:aliases w:val="IEA_Footer Char"/>
    <w:link w:val="Footer"/>
    <w:uiPriority w:val="99"/>
    <w:rsid w:val="00357A46"/>
    <w:rPr>
      <w:rFonts w:ascii="Arial" w:eastAsia="Calibri" w:hAnsi="Arial"/>
      <w:smallCaps/>
      <w:color w:val="000000"/>
      <w:sz w:val="16"/>
      <w:szCs w:val="16"/>
    </w:rPr>
  </w:style>
  <w:style w:type="paragraph" w:styleId="PlainText">
    <w:name w:val="Plain Text"/>
    <w:basedOn w:val="Normal"/>
    <w:link w:val="PlainTextChar"/>
    <w:uiPriority w:val="99"/>
    <w:semiHidden/>
    <w:unhideWhenUsed/>
    <w:rsid w:val="005865A7"/>
    <w:rPr>
      <w:szCs w:val="22"/>
    </w:rPr>
  </w:style>
  <w:style w:type="character" w:customStyle="1" w:styleId="PlainTextChar">
    <w:name w:val="Plain Text Char"/>
    <w:link w:val="PlainText"/>
    <w:uiPriority w:val="99"/>
    <w:semiHidden/>
    <w:rsid w:val="005865A7"/>
    <w:rPr>
      <w:sz w:val="22"/>
      <w:szCs w:val="22"/>
    </w:rPr>
  </w:style>
  <w:style w:type="paragraph" w:styleId="Revision">
    <w:name w:val="Revision"/>
    <w:hidden/>
    <w:uiPriority w:val="99"/>
    <w:semiHidden/>
    <w:rsid w:val="005865A7"/>
  </w:style>
  <w:style w:type="paragraph" w:styleId="EndnoteText">
    <w:name w:val="endnote text"/>
    <w:basedOn w:val="Normal"/>
    <w:link w:val="EndnoteTextChar"/>
    <w:uiPriority w:val="99"/>
    <w:semiHidden/>
    <w:unhideWhenUsed/>
    <w:rsid w:val="00B45E5A"/>
  </w:style>
  <w:style w:type="character" w:customStyle="1" w:styleId="EndnoteTextChar">
    <w:name w:val="Endnote Text Char"/>
    <w:basedOn w:val="DefaultParagraphFont"/>
    <w:link w:val="EndnoteText"/>
    <w:uiPriority w:val="99"/>
    <w:semiHidden/>
    <w:rsid w:val="00B45E5A"/>
  </w:style>
  <w:style w:type="character" w:styleId="EndnoteReference">
    <w:name w:val="endnote reference"/>
    <w:uiPriority w:val="99"/>
    <w:semiHidden/>
    <w:unhideWhenUsed/>
    <w:rsid w:val="00B45E5A"/>
    <w:rPr>
      <w:vertAlign w:val="superscript"/>
    </w:rPr>
  </w:style>
  <w:style w:type="paragraph" w:customStyle="1" w:styleId="IEAFigurePlace">
    <w:name w:val="IEA_Figure_Place"/>
    <w:basedOn w:val="IEAFigureSubtitle"/>
    <w:link w:val="IEAFigurePlaceChar"/>
    <w:qFormat/>
    <w:rsid w:val="00365142"/>
    <w:pPr>
      <w:keepNext/>
      <w:pBdr>
        <w:bottom w:val="none" w:sz="0" w:space="0" w:color="auto"/>
      </w:pBdr>
      <w:spacing w:before="0" w:after="120"/>
    </w:pPr>
  </w:style>
  <w:style w:type="paragraph" w:customStyle="1" w:styleId="IEABoxFigurePosition">
    <w:name w:val="IEA_Box_Figure_Position"/>
    <w:basedOn w:val="IEAFigurePlace"/>
    <w:link w:val="IEABoxFigurePositionChar"/>
    <w:qFormat/>
    <w:rsid w:val="005F220B"/>
    <w:pPr>
      <w:ind w:left="-108" w:right="260"/>
      <w:jc w:val="center"/>
    </w:pPr>
  </w:style>
  <w:style w:type="paragraph" w:customStyle="1" w:styleId="IEABodyBulletTextlevel2">
    <w:name w:val="IEA_Body_Bullet Text_level2"/>
    <w:basedOn w:val="IEABodyBulletTextlevel1"/>
    <w:link w:val="IEABodyBulletTextlevel2Char"/>
    <w:qFormat/>
    <w:rsid w:val="00E30D56"/>
    <w:pPr>
      <w:spacing w:after="80"/>
      <w:ind w:left="1474" w:hanging="340"/>
    </w:pPr>
  </w:style>
  <w:style w:type="paragraph" w:customStyle="1" w:styleId="IEABoxTableTitle">
    <w:name w:val="IEA_Box_Table Title"/>
    <w:basedOn w:val="IEABoxFigureTitle"/>
    <w:link w:val="IEABoxTableTitleChar"/>
    <w:qFormat/>
    <w:rsid w:val="00365142"/>
  </w:style>
  <w:style w:type="character" w:customStyle="1" w:styleId="IEABoxTableTitleChar">
    <w:name w:val="IEA_Box_Table Title Char"/>
    <w:link w:val="IEABoxTableTitle"/>
    <w:rsid w:val="00365142"/>
    <w:rPr>
      <w:rFonts w:ascii="Corbel" w:eastAsia="Calibri" w:hAnsi="Corbel"/>
      <w:b/>
      <w:color w:val="04253A"/>
      <w:szCs w:val="21"/>
    </w:rPr>
  </w:style>
  <w:style w:type="paragraph" w:customStyle="1" w:styleId="IEAFigureClosing">
    <w:name w:val="IEA_Figure_Closing"/>
    <w:basedOn w:val="IEAFigureSubtitle"/>
    <w:link w:val="IEAFigureClosingChar"/>
    <w:qFormat/>
    <w:rsid w:val="00365142"/>
    <w:pPr>
      <w:spacing w:before="0"/>
    </w:pPr>
    <w:rPr>
      <w:sz w:val="2"/>
    </w:rPr>
  </w:style>
  <w:style w:type="character" w:styleId="FollowedHyperlink">
    <w:name w:val="FollowedHyperlink"/>
    <w:uiPriority w:val="99"/>
    <w:semiHidden/>
    <w:unhideWhenUsed/>
    <w:rsid w:val="00FE312A"/>
    <w:rPr>
      <w:color w:val="800080"/>
      <w:u w:val="single"/>
    </w:rPr>
  </w:style>
  <w:style w:type="paragraph" w:customStyle="1" w:styleId="IEAFigureCopyright">
    <w:name w:val="IEA_Figure_Copyright"/>
    <w:basedOn w:val="IEASources"/>
    <w:next w:val="IEASources"/>
    <w:link w:val="IEAFigureCopyrightChar"/>
    <w:qFormat/>
    <w:rsid w:val="00582A78"/>
    <w:pPr>
      <w:spacing w:after="120"/>
      <w:jc w:val="right"/>
    </w:pPr>
    <w:rPr>
      <w:color w:val="808080"/>
    </w:rPr>
  </w:style>
  <w:style w:type="paragraph" w:styleId="TOC4">
    <w:name w:val="toc 4"/>
    <w:basedOn w:val="Normal"/>
    <w:next w:val="Normal"/>
    <w:autoRedefine/>
    <w:uiPriority w:val="39"/>
    <w:semiHidden/>
    <w:unhideWhenUsed/>
    <w:rsid w:val="0084641D"/>
    <w:pPr>
      <w:spacing w:after="100"/>
      <w:ind w:left="600"/>
    </w:pPr>
  </w:style>
  <w:style w:type="paragraph" w:styleId="TOC1">
    <w:name w:val="toc 1"/>
    <w:aliases w:val="IEA_TOC 1"/>
    <w:basedOn w:val="Normal"/>
    <w:next w:val="Normal"/>
    <w:link w:val="TOC1Char"/>
    <w:uiPriority w:val="39"/>
    <w:unhideWhenUsed/>
    <w:rsid w:val="00130299"/>
    <w:pPr>
      <w:tabs>
        <w:tab w:val="right" w:leader="dot" w:pos="8720"/>
      </w:tabs>
      <w:spacing w:after="120"/>
    </w:pPr>
    <w:rPr>
      <w:b/>
      <w:sz w:val="21"/>
    </w:rPr>
  </w:style>
  <w:style w:type="paragraph" w:styleId="TOC2">
    <w:name w:val="toc 2"/>
    <w:aliases w:val="IEA_TOC 2"/>
    <w:basedOn w:val="Normal"/>
    <w:next w:val="Normal"/>
    <w:link w:val="TOC2Char"/>
    <w:uiPriority w:val="39"/>
    <w:unhideWhenUsed/>
    <w:rsid w:val="00130299"/>
    <w:pPr>
      <w:tabs>
        <w:tab w:val="right" w:leader="dot" w:pos="8720"/>
      </w:tabs>
      <w:spacing w:after="120"/>
      <w:ind w:left="198"/>
    </w:pPr>
    <w:rPr>
      <w:sz w:val="21"/>
    </w:rPr>
  </w:style>
  <w:style w:type="paragraph" w:styleId="TOC3">
    <w:name w:val="toc 3"/>
    <w:aliases w:val="IEA_TOC 3"/>
    <w:basedOn w:val="Normal"/>
    <w:next w:val="Normal"/>
    <w:link w:val="TOC3Char"/>
    <w:uiPriority w:val="39"/>
    <w:unhideWhenUsed/>
    <w:rsid w:val="00147E22"/>
    <w:pPr>
      <w:tabs>
        <w:tab w:val="right" w:leader="dot" w:pos="8720"/>
      </w:tabs>
      <w:spacing w:after="100"/>
      <w:ind w:left="400"/>
    </w:pPr>
  </w:style>
  <w:style w:type="paragraph" w:styleId="TableofFigures">
    <w:name w:val="table of figures"/>
    <w:aliases w:val="IEA_TOC_list of"/>
    <w:basedOn w:val="Normal"/>
    <w:next w:val="Normal"/>
    <w:link w:val="TableofFiguresChar"/>
    <w:uiPriority w:val="99"/>
    <w:unhideWhenUsed/>
    <w:rsid w:val="00130299"/>
    <w:pPr>
      <w:tabs>
        <w:tab w:val="left" w:pos="1276"/>
        <w:tab w:val="right" w:leader="dot" w:pos="8720"/>
      </w:tabs>
      <w:spacing w:before="40"/>
      <w:ind w:left="1276" w:hanging="1276"/>
    </w:pPr>
  </w:style>
  <w:style w:type="paragraph" w:customStyle="1" w:styleId="IEABodyTextbold">
    <w:name w:val="IEA_Body Text_bold"/>
    <w:basedOn w:val="IEABodyText"/>
    <w:next w:val="IEABodyText"/>
    <w:link w:val="IEABodyTextboldChar"/>
    <w:qFormat/>
    <w:rsid w:val="008B2D5A"/>
    <w:rPr>
      <w:b/>
    </w:rPr>
  </w:style>
  <w:style w:type="paragraph" w:customStyle="1" w:styleId="IEABodyBulletTextlevel1bold">
    <w:name w:val="IEA_Body_Bullet Text_level1_bold"/>
    <w:basedOn w:val="IEABodyBulletTextlevel1"/>
    <w:next w:val="IEABodyBulletTextlevel1"/>
    <w:link w:val="IEABodyBulletTextlevel1boldChar"/>
    <w:qFormat/>
    <w:rsid w:val="00C0673F"/>
    <w:rPr>
      <w:b/>
    </w:rPr>
  </w:style>
  <w:style w:type="character" w:customStyle="1" w:styleId="IEABodyTextboldChar">
    <w:name w:val="IEA_Body Text_bold Char"/>
    <w:link w:val="IEABodyTextbold"/>
    <w:rsid w:val="008B2D5A"/>
    <w:rPr>
      <w:rFonts w:ascii="Arial" w:eastAsia="Calibri" w:hAnsi="Arial"/>
      <w:b/>
      <w:color w:val="000000"/>
      <w:szCs w:val="22"/>
    </w:rPr>
  </w:style>
  <w:style w:type="paragraph" w:customStyle="1" w:styleId="IEABodyBulletTextlevel2bold">
    <w:name w:val="IEA_Body_Bullet Text_level2_bold"/>
    <w:basedOn w:val="IEABodyBulletTextlevel2"/>
    <w:next w:val="IEABodyBulletTextlevel2"/>
    <w:link w:val="IEABodyBulletTextlevel2boldChar"/>
    <w:qFormat/>
    <w:rsid w:val="00B07589"/>
    <w:rPr>
      <w:b/>
    </w:rPr>
  </w:style>
  <w:style w:type="character" w:customStyle="1" w:styleId="IEABodyBulletTextlevel1boldChar">
    <w:name w:val="IEA_Body_Bullet Text_level1_bold Char"/>
    <w:link w:val="IEABodyBulletTextlevel1bold"/>
    <w:rsid w:val="00C0673F"/>
    <w:rPr>
      <w:rFonts w:ascii="Arial" w:hAnsi="Arial"/>
      <w:b/>
      <w:color w:val="000000"/>
      <w:sz w:val="21"/>
      <w:szCs w:val="22"/>
    </w:rPr>
  </w:style>
  <w:style w:type="paragraph" w:customStyle="1" w:styleId="IEABoxTextbold">
    <w:name w:val="IEA_Box_Text_bold"/>
    <w:basedOn w:val="IEABoxText"/>
    <w:next w:val="IEABoxText"/>
    <w:link w:val="IEABoxTextboldChar"/>
    <w:qFormat/>
    <w:rsid w:val="00B07589"/>
    <w:rPr>
      <w:b/>
    </w:rPr>
  </w:style>
  <w:style w:type="character" w:customStyle="1" w:styleId="IEABodyBulletTextlevel2Char">
    <w:name w:val="IEA_Body_Bullet Text_level2 Char"/>
    <w:link w:val="IEABodyBulletTextlevel2"/>
    <w:rsid w:val="00E30D56"/>
    <w:rPr>
      <w:rFonts w:ascii="Arial" w:hAnsi="Arial"/>
      <w:color w:val="000000"/>
      <w:sz w:val="21"/>
      <w:szCs w:val="22"/>
    </w:rPr>
  </w:style>
  <w:style w:type="character" w:customStyle="1" w:styleId="IEABodyBulletTextlevel2boldChar">
    <w:name w:val="IEA_Body_Bullet Text_level2_bold Char"/>
    <w:link w:val="IEABodyBulletTextlevel2bold"/>
    <w:rsid w:val="00B07589"/>
    <w:rPr>
      <w:rFonts w:ascii="Arial" w:hAnsi="Arial"/>
      <w:b/>
      <w:color w:val="000000"/>
      <w:sz w:val="21"/>
      <w:szCs w:val="22"/>
    </w:rPr>
  </w:style>
  <w:style w:type="character" w:customStyle="1" w:styleId="IEABoxTextboldChar">
    <w:name w:val="IEA_Box_Text_bold Char"/>
    <w:link w:val="IEABoxTextbold"/>
    <w:rsid w:val="00B07589"/>
    <w:rPr>
      <w:rFonts w:ascii="Arial" w:hAnsi="Arial"/>
      <w:b/>
      <w:color w:val="000000"/>
      <w:sz w:val="21"/>
    </w:rPr>
  </w:style>
  <w:style w:type="paragraph" w:customStyle="1" w:styleId="IEABoxBulletTextbold">
    <w:name w:val="IEA_Box_Bullet Text_bold"/>
    <w:basedOn w:val="IEABoxBulletText"/>
    <w:next w:val="IEABoxBulletText"/>
    <w:link w:val="IEABoxBulletTextboldChar"/>
    <w:qFormat/>
    <w:rsid w:val="00476BB0"/>
    <w:rPr>
      <w:b/>
    </w:rPr>
  </w:style>
  <w:style w:type="character" w:customStyle="1" w:styleId="IEABoxBulletTextboldChar">
    <w:name w:val="IEA_Box_Bullet Text_bold Char"/>
    <w:link w:val="IEABoxBulletTextbold"/>
    <w:rsid w:val="00476BB0"/>
    <w:rPr>
      <w:rFonts w:ascii="Arial" w:hAnsi="Arial"/>
      <w:b/>
      <w:color w:val="000000"/>
      <w:sz w:val="22"/>
      <w:szCs w:val="22"/>
    </w:rPr>
  </w:style>
  <w:style w:type="paragraph" w:customStyle="1" w:styleId="IEAAbbreviations">
    <w:name w:val="IEA_Abbreviations"/>
    <w:basedOn w:val="Normal"/>
    <w:link w:val="IEAAbbreviationsChar"/>
    <w:qFormat/>
    <w:rsid w:val="002101F9"/>
    <w:pPr>
      <w:spacing w:before="20" w:after="20" w:line="264" w:lineRule="auto"/>
    </w:pPr>
    <w:rPr>
      <w:rFonts w:cs="Arial"/>
    </w:rPr>
  </w:style>
  <w:style w:type="character" w:customStyle="1" w:styleId="IEAAbbreviationsChar">
    <w:name w:val="IEA_Abbreviations Char"/>
    <w:link w:val="IEAAbbreviations"/>
    <w:rsid w:val="002101F9"/>
    <w:rPr>
      <w:rFonts w:ascii="Arial" w:hAnsi="Arial" w:cs="Arial"/>
      <w:color w:val="000000"/>
      <w:sz w:val="22"/>
    </w:rPr>
  </w:style>
  <w:style w:type="paragraph" w:styleId="Bibliography">
    <w:name w:val="Bibliography"/>
    <w:basedOn w:val="Normal"/>
    <w:next w:val="Normal"/>
    <w:uiPriority w:val="37"/>
    <w:semiHidden/>
    <w:unhideWhenUsed/>
    <w:rsid w:val="001F2490"/>
  </w:style>
  <w:style w:type="paragraph" w:styleId="BlockText">
    <w:name w:val="Block Text"/>
    <w:basedOn w:val="Normal"/>
    <w:uiPriority w:val="99"/>
    <w:semiHidden/>
    <w:unhideWhenUsed/>
    <w:rsid w:val="001F2490"/>
    <w:pPr>
      <w:pBdr>
        <w:top w:val="single" w:sz="2" w:space="10" w:color="4F81BD"/>
        <w:left w:val="single" w:sz="2" w:space="10" w:color="4F81BD"/>
        <w:bottom w:val="single" w:sz="2" w:space="10" w:color="4F81BD"/>
        <w:right w:val="single" w:sz="2" w:space="10" w:color="4F81BD"/>
      </w:pBdr>
      <w:ind w:left="1152" w:right="1152"/>
    </w:pPr>
    <w:rPr>
      <w:rFonts w:eastAsia="Times New Roman"/>
      <w:i/>
      <w:iCs/>
      <w:color w:val="4F81BD"/>
    </w:rPr>
  </w:style>
  <w:style w:type="paragraph" w:styleId="BodyText2">
    <w:name w:val="Body Text 2"/>
    <w:basedOn w:val="Normal"/>
    <w:link w:val="BodyText2Char"/>
    <w:uiPriority w:val="99"/>
    <w:semiHidden/>
    <w:unhideWhenUsed/>
    <w:rsid w:val="001F2490"/>
    <w:pPr>
      <w:spacing w:after="120" w:line="480" w:lineRule="auto"/>
    </w:pPr>
  </w:style>
  <w:style w:type="character" w:customStyle="1" w:styleId="BodyText2Char">
    <w:name w:val="Body Text 2 Char"/>
    <w:basedOn w:val="DefaultParagraphFont"/>
    <w:link w:val="BodyText2"/>
    <w:uiPriority w:val="99"/>
    <w:semiHidden/>
    <w:rsid w:val="001F2490"/>
  </w:style>
  <w:style w:type="paragraph" w:styleId="BodyText3">
    <w:name w:val="Body Text 3"/>
    <w:basedOn w:val="Normal"/>
    <w:link w:val="BodyText3Char"/>
    <w:uiPriority w:val="99"/>
    <w:semiHidden/>
    <w:unhideWhenUsed/>
    <w:rsid w:val="001F2490"/>
    <w:pPr>
      <w:spacing w:after="120"/>
    </w:pPr>
    <w:rPr>
      <w:sz w:val="16"/>
      <w:szCs w:val="16"/>
    </w:rPr>
  </w:style>
  <w:style w:type="character" w:customStyle="1" w:styleId="BodyText3Char">
    <w:name w:val="Body Text 3 Char"/>
    <w:link w:val="BodyText3"/>
    <w:uiPriority w:val="99"/>
    <w:semiHidden/>
    <w:rsid w:val="001F2490"/>
    <w:rPr>
      <w:sz w:val="16"/>
      <w:szCs w:val="16"/>
    </w:rPr>
  </w:style>
  <w:style w:type="paragraph" w:styleId="BodyTextFirstIndent">
    <w:name w:val="Body Text First Indent"/>
    <w:basedOn w:val="Normal"/>
    <w:link w:val="BodyTextFirstIndentChar"/>
    <w:uiPriority w:val="99"/>
    <w:semiHidden/>
    <w:unhideWhenUsed/>
    <w:rsid w:val="00F428DB"/>
    <w:pPr>
      <w:ind w:firstLine="360"/>
    </w:pPr>
  </w:style>
  <w:style w:type="character" w:customStyle="1" w:styleId="BodyTextFirstIndentChar">
    <w:name w:val="Body Text First Indent Char"/>
    <w:basedOn w:val="DefaultParagraphFont"/>
    <w:link w:val="BodyTextFirstIndent"/>
    <w:uiPriority w:val="99"/>
    <w:semiHidden/>
    <w:rsid w:val="00F428DB"/>
  </w:style>
  <w:style w:type="paragraph" w:styleId="BodyTextIndent">
    <w:name w:val="Body Text Indent"/>
    <w:basedOn w:val="Normal"/>
    <w:link w:val="BodyTextIndentChar"/>
    <w:uiPriority w:val="99"/>
    <w:semiHidden/>
    <w:unhideWhenUsed/>
    <w:rsid w:val="001F2490"/>
    <w:pPr>
      <w:spacing w:after="120"/>
      <w:ind w:left="283"/>
    </w:pPr>
  </w:style>
  <w:style w:type="character" w:customStyle="1" w:styleId="BodyTextIndentChar">
    <w:name w:val="Body Text Indent Char"/>
    <w:basedOn w:val="DefaultParagraphFont"/>
    <w:link w:val="BodyTextIndent"/>
    <w:uiPriority w:val="99"/>
    <w:semiHidden/>
    <w:rsid w:val="001F2490"/>
  </w:style>
  <w:style w:type="paragraph" w:styleId="BodyTextFirstIndent2">
    <w:name w:val="Body Text First Indent 2"/>
    <w:basedOn w:val="BodyTextIndent"/>
    <w:link w:val="BodyTextFirstIndent2Char"/>
    <w:uiPriority w:val="99"/>
    <w:semiHidden/>
    <w:unhideWhenUsed/>
    <w:rsid w:val="001F2490"/>
    <w:pPr>
      <w:spacing w:after="0"/>
      <w:ind w:left="360" w:firstLine="360"/>
    </w:pPr>
  </w:style>
  <w:style w:type="character" w:customStyle="1" w:styleId="BodyTextFirstIndent2Char">
    <w:name w:val="Body Text First Indent 2 Char"/>
    <w:basedOn w:val="BodyTextIndentChar"/>
    <w:link w:val="BodyTextFirstIndent2"/>
    <w:uiPriority w:val="99"/>
    <w:semiHidden/>
    <w:rsid w:val="001F2490"/>
  </w:style>
  <w:style w:type="paragraph" w:styleId="BodyTextIndent2">
    <w:name w:val="Body Text Indent 2"/>
    <w:basedOn w:val="Normal"/>
    <w:link w:val="BodyTextIndent2Char"/>
    <w:uiPriority w:val="99"/>
    <w:semiHidden/>
    <w:unhideWhenUsed/>
    <w:rsid w:val="001F2490"/>
    <w:pPr>
      <w:spacing w:after="120" w:line="480" w:lineRule="auto"/>
      <w:ind w:left="283"/>
    </w:pPr>
  </w:style>
  <w:style w:type="character" w:customStyle="1" w:styleId="BodyTextIndent2Char">
    <w:name w:val="Body Text Indent 2 Char"/>
    <w:basedOn w:val="DefaultParagraphFont"/>
    <w:link w:val="BodyTextIndent2"/>
    <w:uiPriority w:val="99"/>
    <w:semiHidden/>
    <w:rsid w:val="001F2490"/>
  </w:style>
  <w:style w:type="paragraph" w:styleId="BodyTextIndent3">
    <w:name w:val="Body Text Indent 3"/>
    <w:basedOn w:val="Normal"/>
    <w:link w:val="BodyTextIndent3Char"/>
    <w:uiPriority w:val="99"/>
    <w:semiHidden/>
    <w:unhideWhenUsed/>
    <w:rsid w:val="001F2490"/>
    <w:pPr>
      <w:spacing w:after="120"/>
      <w:ind w:left="283"/>
    </w:pPr>
    <w:rPr>
      <w:sz w:val="16"/>
      <w:szCs w:val="16"/>
    </w:rPr>
  </w:style>
  <w:style w:type="character" w:customStyle="1" w:styleId="BodyTextIndent3Char">
    <w:name w:val="Body Text Indent 3 Char"/>
    <w:link w:val="BodyTextIndent3"/>
    <w:uiPriority w:val="99"/>
    <w:semiHidden/>
    <w:rsid w:val="001F2490"/>
    <w:rPr>
      <w:sz w:val="16"/>
      <w:szCs w:val="16"/>
    </w:rPr>
  </w:style>
  <w:style w:type="paragraph" w:styleId="Caption">
    <w:name w:val="caption"/>
    <w:basedOn w:val="Normal"/>
    <w:next w:val="Normal"/>
    <w:uiPriority w:val="35"/>
    <w:unhideWhenUsed/>
    <w:qFormat/>
    <w:rsid w:val="001F2490"/>
    <w:pPr>
      <w:spacing w:after="200"/>
    </w:pPr>
    <w:rPr>
      <w:i/>
      <w:iCs/>
      <w:color w:val="1F497D"/>
      <w:sz w:val="18"/>
      <w:szCs w:val="18"/>
    </w:rPr>
  </w:style>
  <w:style w:type="paragraph" w:styleId="Closing">
    <w:name w:val="Closing"/>
    <w:basedOn w:val="Normal"/>
    <w:link w:val="ClosingChar"/>
    <w:uiPriority w:val="99"/>
    <w:semiHidden/>
    <w:unhideWhenUsed/>
    <w:rsid w:val="001F2490"/>
    <w:pPr>
      <w:ind w:left="4252"/>
    </w:pPr>
  </w:style>
  <w:style w:type="character" w:customStyle="1" w:styleId="ClosingChar">
    <w:name w:val="Closing Char"/>
    <w:basedOn w:val="DefaultParagraphFont"/>
    <w:link w:val="Closing"/>
    <w:uiPriority w:val="99"/>
    <w:semiHidden/>
    <w:rsid w:val="001F2490"/>
  </w:style>
  <w:style w:type="paragraph" w:styleId="Date">
    <w:name w:val="Date"/>
    <w:basedOn w:val="Normal"/>
    <w:next w:val="Normal"/>
    <w:link w:val="DateChar"/>
    <w:uiPriority w:val="99"/>
    <w:semiHidden/>
    <w:unhideWhenUsed/>
    <w:rsid w:val="001F2490"/>
  </w:style>
  <w:style w:type="character" w:customStyle="1" w:styleId="DateChar">
    <w:name w:val="Date Char"/>
    <w:basedOn w:val="DefaultParagraphFont"/>
    <w:link w:val="Date"/>
    <w:uiPriority w:val="99"/>
    <w:semiHidden/>
    <w:rsid w:val="001F2490"/>
  </w:style>
  <w:style w:type="paragraph" w:styleId="DocumentMap">
    <w:name w:val="Document Map"/>
    <w:basedOn w:val="Normal"/>
    <w:link w:val="DocumentMapChar"/>
    <w:uiPriority w:val="99"/>
    <w:semiHidden/>
    <w:unhideWhenUsed/>
    <w:rsid w:val="001F2490"/>
    <w:rPr>
      <w:rFonts w:ascii="Segoe UI" w:hAnsi="Segoe UI" w:cs="Segoe UI"/>
      <w:sz w:val="16"/>
      <w:szCs w:val="16"/>
    </w:rPr>
  </w:style>
  <w:style w:type="character" w:customStyle="1" w:styleId="DocumentMapChar">
    <w:name w:val="Document Map Char"/>
    <w:link w:val="DocumentMap"/>
    <w:uiPriority w:val="99"/>
    <w:semiHidden/>
    <w:rsid w:val="001F2490"/>
    <w:rPr>
      <w:rFonts w:ascii="Segoe UI" w:hAnsi="Segoe UI" w:cs="Segoe UI"/>
      <w:sz w:val="16"/>
      <w:szCs w:val="16"/>
    </w:rPr>
  </w:style>
  <w:style w:type="paragraph" w:styleId="E-mailSignature">
    <w:name w:val="E-mail Signature"/>
    <w:basedOn w:val="Normal"/>
    <w:link w:val="E-mailSignatureChar"/>
    <w:uiPriority w:val="99"/>
    <w:semiHidden/>
    <w:unhideWhenUsed/>
    <w:rsid w:val="001F2490"/>
  </w:style>
  <w:style w:type="character" w:customStyle="1" w:styleId="E-mailSignatureChar">
    <w:name w:val="E-mail Signature Char"/>
    <w:basedOn w:val="DefaultParagraphFont"/>
    <w:link w:val="E-mailSignature"/>
    <w:uiPriority w:val="99"/>
    <w:semiHidden/>
    <w:rsid w:val="001F2490"/>
  </w:style>
  <w:style w:type="paragraph" w:styleId="EnvelopeAddress">
    <w:name w:val="envelope address"/>
    <w:basedOn w:val="Normal"/>
    <w:uiPriority w:val="99"/>
    <w:semiHidden/>
    <w:unhideWhenUsed/>
    <w:rsid w:val="001F249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1F2490"/>
    <w:rPr>
      <w:rFonts w:ascii="Cambria" w:eastAsia="Times New Roman" w:hAnsi="Cambria"/>
    </w:rPr>
  </w:style>
  <w:style w:type="character" w:customStyle="1" w:styleId="Heading7Char">
    <w:name w:val="Heading 7 Char"/>
    <w:link w:val="Heading7"/>
    <w:uiPriority w:val="9"/>
    <w:semiHidden/>
    <w:rsid w:val="001F2490"/>
    <w:rPr>
      <w:rFonts w:ascii="Cambria" w:eastAsia="Times New Roman" w:hAnsi="Cambria" w:cs="Times New Roman"/>
      <w:i/>
      <w:iCs/>
      <w:color w:val="243F60"/>
    </w:rPr>
  </w:style>
  <w:style w:type="character" w:customStyle="1" w:styleId="Heading8Char">
    <w:name w:val="Heading 8 Char"/>
    <w:link w:val="Heading8"/>
    <w:uiPriority w:val="9"/>
    <w:semiHidden/>
    <w:rsid w:val="001F2490"/>
    <w:rPr>
      <w:rFonts w:ascii="Cambria" w:eastAsia="Times New Roman" w:hAnsi="Cambria" w:cs="Times New Roman"/>
      <w:color w:val="272727"/>
      <w:sz w:val="21"/>
      <w:szCs w:val="21"/>
    </w:rPr>
  </w:style>
  <w:style w:type="character" w:customStyle="1" w:styleId="Heading9Char">
    <w:name w:val="Heading 9 Char"/>
    <w:link w:val="Heading9"/>
    <w:uiPriority w:val="9"/>
    <w:semiHidden/>
    <w:rsid w:val="001F2490"/>
    <w:rPr>
      <w:rFonts w:ascii="Cambria" w:eastAsia="Times New Roman" w:hAnsi="Cambria" w:cs="Times New Roman"/>
      <w:i/>
      <w:iCs/>
      <w:color w:val="272727"/>
      <w:sz w:val="21"/>
      <w:szCs w:val="21"/>
    </w:rPr>
  </w:style>
  <w:style w:type="paragraph" w:styleId="HTMLAddress">
    <w:name w:val="HTML Address"/>
    <w:basedOn w:val="Normal"/>
    <w:link w:val="HTMLAddressChar"/>
    <w:uiPriority w:val="99"/>
    <w:semiHidden/>
    <w:unhideWhenUsed/>
    <w:rsid w:val="001F2490"/>
    <w:rPr>
      <w:i/>
      <w:iCs/>
    </w:rPr>
  </w:style>
  <w:style w:type="character" w:customStyle="1" w:styleId="HTMLAddressChar">
    <w:name w:val="HTML Address Char"/>
    <w:link w:val="HTMLAddress"/>
    <w:uiPriority w:val="99"/>
    <w:semiHidden/>
    <w:rsid w:val="001F2490"/>
    <w:rPr>
      <w:i/>
      <w:iCs/>
    </w:rPr>
  </w:style>
  <w:style w:type="paragraph" w:styleId="HTMLPreformatted">
    <w:name w:val="HTML Preformatted"/>
    <w:basedOn w:val="Normal"/>
    <w:link w:val="HTMLPreformattedChar"/>
    <w:uiPriority w:val="99"/>
    <w:semiHidden/>
    <w:unhideWhenUsed/>
    <w:rsid w:val="001F2490"/>
    <w:rPr>
      <w:rFonts w:ascii="Consolas" w:hAnsi="Consolas"/>
    </w:rPr>
  </w:style>
  <w:style w:type="character" w:customStyle="1" w:styleId="HTMLPreformattedChar">
    <w:name w:val="HTML Preformatted Char"/>
    <w:link w:val="HTMLPreformatted"/>
    <w:uiPriority w:val="99"/>
    <w:semiHidden/>
    <w:rsid w:val="001F2490"/>
    <w:rPr>
      <w:rFonts w:ascii="Consolas" w:hAnsi="Consolas"/>
    </w:rPr>
  </w:style>
  <w:style w:type="paragraph" w:styleId="Index1">
    <w:name w:val="index 1"/>
    <w:basedOn w:val="Normal"/>
    <w:next w:val="Normal"/>
    <w:autoRedefine/>
    <w:uiPriority w:val="99"/>
    <w:semiHidden/>
    <w:unhideWhenUsed/>
    <w:rsid w:val="001F2490"/>
    <w:pPr>
      <w:ind w:left="200" w:hanging="200"/>
    </w:pPr>
  </w:style>
  <w:style w:type="paragraph" w:styleId="Index2">
    <w:name w:val="index 2"/>
    <w:basedOn w:val="Normal"/>
    <w:next w:val="Normal"/>
    <w:autoRedefine/>
    <w:uiPriority w:val="99"/>
    <w:semiHidden/>
    <w:unhideWhenUsed/>
    <w:rsid w:val="001F2490"/>
    <w:pPr>
      <w:ind w:left="400" w:hanging="200"/>
    </w:pPr>
  </w:style>
  <w:style w:type="paragraph" w:styleId="Index3">
    <w:name w:val="index 3"/>
    <w:basedOn w:val="Normal"/>
    <w:next w:val="Normal"/>
    <w:autoRedefine/>
    <w:uiPriority w:val="99"/>
    <w:semiHidden/>
    <w:unhideWhenUsed/>
    <w:rsid w:val="001F2490"/>
    <w:pPr>
      <w:ind w:left="600" w:hanging="200"/>
    </w:pPr>
  </w:style>
  <w:style w:type="paragraph" w:styleId="Index4">
    <w:name w:val="index 4"/>
    <w:basedOn w:val="Normal"/>
    <w:next w:val="Normal"/>
    <w:autoRedefine/>
    <w:uiPriority w:val="99"/>
    <w:semiHidden/>
    <w:unhideWhenUsed/>
    <w:rsid w:val="001F2490"/>
    <w:pPr>
      <w:ind w:left="800" w:hanging="200"/>
    </w:pPr>
  </w:style>
  <w:style w:type="paragraph" w:styleId="Index5">
    <w:name w:val="index 5"/>
    <w:basedOn w:val="Normal"/>
    <w:next w:val="Normal"/>
    <w:autoRedefine/>
    <w:uiPriority w:val="99"/>
    <w:semiHidden/>
    <w:unhideWhenUsed/>
    <w:rsid w:val="001F2490"/>
    <w:pPr>
      <w:ind w:left="1000" w:hanging="200"/>
    </w:pPr>
  </w:style>
  <w:style w:type="paragraph" w:styleId="Index6">
    <w:name w:val="index 6"/>
    <w:basedOn w:val="Normal"/>
    <w:next w:val="Normal"/>
    <w:autoRedefine/>
    <w:uiPriority w:val="99"/>
    <w:semiHidden/>
    <w:unhideWhenUsed/>
    <w:rsid w:val="001F2490"/>
    <w:pPr>
      <w:ind w:left="1200" w:hanging="200"/>
    </w:pPr>
  </w:style>
  <w:style w:type="paragraph" w:styleId="Index7">
    <w:name w:val="index 7"/>
    <w:basedOn w:val="Normal"/>
    <w:next w:val="Normal"/>
    <w:autoRedefine/>
    <w:uiPriority w:val="99"/>
    <w:semiHidden/>
    <w:unhideWhenUsed/>
    <w:rsid w:val="001F2490"/>
    <w:pPr>
      <w:ind w:left="1400" w:hanging="200"/>
    </w:pPr>
  </w:style>
  <w:style w:type="paragraph" w:styleId="Index8">
    <w:name w:val="index 8"/>
    <w:basedOn w:val="Normal"/>
    <w:next w:val="Normal"/>
    <w:autoRedefine/>
    <w:uiPriority w:val="99"/>
    <w:semiHidden/>
    <w:unhideWhenUsed/>
    <w:rsid w:val="001F2490"/>
    <w:pPr>
      <w:ind w:left="1600" w:hanging="200"/>
    </w:pPr>
  </w:style>
  <w:style w:type="paragraph" w:styleId="Index9">
    <w:name w:val="index 9"/>
    <w:basedOn w:val="Normal"/>
    <w:next w:val="Normal"/>
    <w:autoRedefine/>
    <w:uiPriority w:val="99"/>
    <w:semiHidden/>
    <w:unhideWhenUsed/>
    <w:rsid w:val="001F2490"/>
    <w:pPr>
      <w:ind w:left="1800" w:hanging="200"/>
    </w:pPr>
  </w:style>
  <w:style w:type="paragraph" w:styleId="IndexHeading">
    <w:name w:val="index heading"/>
    <w:basedOn w:val="Normal"/>
    <w:next w:val="Index1"/>
    <w:uiPriority w:val="99"/>
    <w:semiHidden/>
    <w:unhideWhenUsed/>
    <w:rsid w:val="001F2490"/>
    <w:rPr>
      <w:rFonts w:ascii="Cambria" w:eastAsia="Times New Roman" w:hAnsi="Cambria"/>
      <w:b/>
      <w:bCs/>
    </w:rPr>
  </w:style>
  <w:style w:type="paragraph" w:styleId="List">
    <w:name w:val="List"/>
    <w:basedOn w:val="Normal"/>
    <w:uiPriority w:val="99"/>
    <w:semiHidden/>
    <w:unhideWhenUsed/>
    <w:rsid w:val="001F2490"/>
    <w:pPr>
      <w:ind w:left="283" w:hanging="283"/>
      <w:contextualSpacing/>
    </w:pPr>
  </w:style>
  <w:style w:type="paragraph" w:styleId="List2">
    <w:name w:val="List 2"/>
    <w:basedOn w:val="Normal"/>
    <w:uiPriority w:val="99"/>
    <w:semiHidden/>
    <w:unhideWhenUsed/>
    <w:rsid w:val="001F2490"/>
    <w:pPr>
      <w:ind w:left="566" w:hanging="283"/>
      <w:contextualSpacing/>
    </w:pPr>
  </w:style>
  <w:style w:type="paragraph" w:styleId="List3">
    <w:name w:val="List 3"/>
    <w:basedOn w:val="Normal"/>
    <w:uiPriority w:val="99"/>
    <w:semiHidden/>
    <w:unhideWhenUsed/>
    <w:rsid w:val="001F2490"/>
    <w:pPr>
      <w:ind w:left="849" w:hanging="283"/>
      <w:contextualSpacing/>
    </w:pPr>
  </w:style>
  <w:style w:type="paragraph" w:styleId="List4">
    <w:name w:val="List 4"/>
    <w:basedOn w:val="Normal"/>
    <w:uiPriority w:val="99"/>
    <w:semiHidden/>
    <w:unhideWhenUsed/>
    <w:rsid w:val="001F2490"/>
    <w:pPr>
      <w:ind w:left="1132" w:hanging="283"/>
      <w:contextualSpacing/>
    </w:pPr>
  </w:style>
  <w:style w:type="paragraph" w:styleId="List5">
    <w:name w:val="List 5"/>
    <w:basedOn w:val="Normal"/>
    <w:uiPriority w:val="99"/>
    <w:semiHidden/>
    <w:unhideWhenUsed/>
    <w:rsid w:val="001F2490"/>
    <w:pPr>
      <w:ind w:left="1415" w:hanging="283"/>
      <w:contextualSpacing/>
    </w:pPr>
  </w:style>
  <w:style w:type="paragraph" w:styleId="ListBullet">
    <w:name w:val="List Bullet"/>
    <w:basedOn w:val="Normal"/>
    <w:uiPriority w:val="99"/>
    <w:semiHidden/>
    <w:unhideWhenUsed/>
    <w:rsid w:val="001F2490"/>
    <w:pPr>
      <w:numPr>
        <w:numId w:val="6"/>
      </w:numPr>
      <w:contextualSpacing/>
    </w:pPr>
  </w:style>
  <w:style w:type="paragraph" w:styleId="ListBullet2">
    <w:name w:val="List Bullet 2"/>
    <w:basedOn w:val="Normal"/>
    <w:uiPriority w:val="99"/>
    <w:semiHidden/>
    <w:unhideWhenUsed/>
    <w:rsid w:val="001F2490"/>
    <w:pPr>
      <w:numPr>
        <w:numId w:val="7"/>
      </w:numPr>
      <w:contextualSpacing/>
    </w:pPr>
  </w:style>
  <w:style w:type="paragraph" w:styleId="ListBullet3">
    <w:name w:val="List Bullet 3"/>
    <w:basedOn w:val="Normal"/>
    <w:uiPriority w:val="99"/>
    <w:semiHidden/>
    <w:unhideWhenUsed/>
    <w:rsid w:val="001F2490"/>
    <w:pPr>
      <w:numPr>
        <w:numId w:val="8"/>
      </w:numPr>
      <w:contextualSpacing/>
    </w:pPr>
  </w:style>
  <w:style w:type="paragraph" w:styleId="ListBullet4">
    <w:name w:val="List Bullet 4"/>
    <w:basedOn w:val="Normal"/>
    <w:uiPriority w:val="99"/>
    <w:semiHidden/>
    <w:unhideWhenUsed/>
    <w:rsid w:val="001F2490"/>
    <w:pPr>
      <w:numPr>
        <w:numId w:val="9"/>
      </w:numPr>
      <w:contextualSpacing/>
    </w:pPr>
  </w:style>
  <w:style w:type="paragraph" w:styleId="ListBullet5">
    <w:name w:val="List Bullet 5"/>
    <w:basedOn w:val="Normal"/>
    <w:uiPriority w:val="99"/>
    <w:semiHidden/>
    <w:unhideWhenUsed/>
    <w:rsid w:val="001F2490"/>
    <w:pPr>
      <w:numPr>
        <w:numId w:val="10"/>
      </w:numPr>
      <w:contextualSpacing/>
    </w:pPr>
  </w:style>
  <w:style w:type="paragraph" w:styleId="ListContinue">
    <w:name w:val="List Continue"/>
    <w:basedOn w:val="Normal"/>
    <w:uiPriority w:val="99"/>
    <w:semiHidden/>
    <w:unhideWhenUsed/>
    <w:rsid w:val="001F2490"/>
    <w:pPr>
      <w:spacing w:after="120"/>
      <w:ind w:left="283"/>
      <w:contextualSpacing/>
    </w:pPr>
  </w:style>
  <w:style w:type="paragraph" w:styleId="ListContinue2">
    <w:name w:val="List Continue 2"/>
    <w:basedOn w:val="Normal"/>
    <w:uiPriority w:val="99"/>
    <w:semiHidden/>
    <w:unhideWhenUsed/>
    <w:rsid w:val="001F2490"/>
    <w:pPr>
      <w:spacing w:after="120"/>
      <w:ind w:left="566"/>
      <w:contextualSpacing/>
    </w:pPr>
  </w:style>
  <w:style w:type="paragraph" w:styleId="ListContinue3">
    <w:name w:val="List Continue 3"/>
    <w:basedOn w:val="Normal"/>
    <w:uiPriority w:val="99"/>
    <w:semiHidden/>
    <w:unhideWhenUsed/>
    <w:rsid w:val="001F2490"/>
    <w:pPr>
      <w:spacing w:after="120"/>
      <w:ind w:left="849"/>
      <w:contextualSpacing/>
    </w:pPr>
  </w:style>
  <w:style w:type="paragraph" w:styleId="ListContinue4">
    <w:name w:val="List Continue 4"/>
    <w:basedOn w:val="Normal"/>
    <w:uiPriority w:val="99"/>
    <w:semiHidden/>
    <w:unhideWhenUsed/>
    <w:rsid w:val="001F2490"/>
    <w:pPr>
      <w:spacing w:after="120"/>
      <w:ind w:left="1132"/>
      <w:contextualSpacing/>
    </w:pPr>
  </w:style>
  <w:style w:type="paragraph" w:styleId="ListContinue5">
    <w:name w:val="List Continue 5"/>
    <w:basedOn w:val="Normal"/>
    <w:uiPriority w:val="99"/>
    <w:semiHidden/>
    <w:unhideWhenUsed/>
    <w:rsid w:val="001F2490"/>
    <w:pPr>
      <w:spacing w:after="120"/>
      <w:ind w:left="1415"/>
      <w:contextualSpacing/>
    </w:pPr>
  </w:style>
  <w:style w:type="paragraph" w:styleId="ListNumber">
    <w:name w:val="List Number"/>
    <w:basedOn w:val="Normal"/>
    <w:uiPriority w:val="99"/>
    <w:semiHidden/>
    <w:unhideWhenUsed/>
    <w:rsid w:val="001F2490"/>
    <w:pPr>
      <w:numPr>
        <w:numId w:val="11"/>
      </w:numPr>
      <w:contextualSpacing/>
    </w:pPr>
  </w:style>
  <w:style w:type="paragraph" w:styleId="ListNumber2">
    <w:name w:val="List Number 2"/>
    <w:basedOn w:val="Normal"/>
    <w:uiPriority w:val="99"/>
    <w:semiHidden/>
    <w:unhideWhenUsed/>
    <w:rsid w:val="001F2490"/>
    <w:pPr>
      <w:numPr>
        <w:numId w:val="12"/>
      </w:numPr>
      <w:contextualSpacing/>
    </w:pPr>
  </w:style>
  <w:style w:type="paragraph" w:styleId="ListNumber3">
    <w:name w:val="List Number 3"/>
    <w:basedOn w:val="Normal"/>
    <w:uiPriority w:val="99"/>
    <w:semiHidden/>
    <w:unhideWhenUsed/>
    <w:rsid w:val="001F2490"/>
    <w:pPr>
      <w:numPr>
        <w:numId w:val="13"/>
      </w:numPr>
      <w:contextualSpacing/>
    </w:pPr>
  </w:style>
  <w:style w:type="paragraph" w:styleId="ListNumber4">
    <w:name w:val="List Number 4"/>
    <w:basedOn w:val="Normal"/>
    <w:uiPriority w:val="99"/>
    <w:semiHidden/>
    <w:unhideWhenUsed/>
    <w:rsid w:val="001F2490"/>
    <w:pPr>
      <w:numPr>
        <w:numId w:val="14"/>
      </w:numPr>
      <w:contextualSpacing/>
    </w:pPr>
  </w:style>
  <w:style w:type="paragraph" w:styleId="ListNumber5">
    <w:name w:val="List Number 5"/>
    <w:basedOn w:val="Normal"/>
    <w:uiPriority w:val="99"/>
    <w:semiHidden/>
    <w:unhideWhenUsed/>
    <w:rsid w:val="001F2490"/>
    <w:pPr>
      <w:numPr>
        <w:numId w:val="15"/>
      </w:numPr>
      <w:contextualSpacing/>
    </w:pPr>
  </w:style>
  <w:style w:type="paragraph" w:styleId="MacroText">
    <w:name w:val="macro"/>
    <w:link w:val="MacroTextChar"/>
    <w:uiPriority w:val="99"/>
    <w:semiHidden/>
    <w:unhideWhenUsed/>
    <w:rsid w:val="001F249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link w:val="MacroText"/>
    <w:uiPriority w:val="99"/>
    <w:semiHidden/>
    <w:rsid w:val="001F2490"/>
    <w:rPr>
      <w:rFonts w:ascii="Consolas" w:hAnsi="Consolas"/>
    </w:rPr>
  </w:style>
  <w:style w:type="paragraph" w:styleId="MessageHeader">
    <w:name w:val="Message Header"/>
    <w:basedOn w:val="Normal"/>
    <w:link w:val="MessageHeaderChar"/>
    <w:uiPriority w:val="99"/>
    <w:semiHidden/>
    <w:unhideWhenUsed/>
    <w:rsid w:val="001F249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1F2490"/>
    <w:rPr>
      <w:rFonts w:ascii="Cambria" w:eastAsia="Times New Roman" w:hAnsi="Cambria" w:cs="Times New Roman"/>
      <w:sz w:val="24"/>
      <w:szCs w:val="24"/>
      <w:shd w:val="pct20" w:color="auto" w:fill="auto"/>
    </w:rPr>
  </w:style>
  <w:style w:type="paragraph" w:styleId="NormalWeb">
    <w:name w:val="Normal (Web)"/>
    <w:basedOn w:val="Normal"/>
    <w:uiPriority w:val="99"/>
    <w:semiHidden/>
    <w:unhideWhenUsed/>
    <w:rsid w:val="001F2490"/>
    <w:rPr>
      <w:rFonts w:ascii="Times New Roman" w:hAnsi="Times New Roman"/>
      <w:sz w:val="24"/>
      <w:szCs w:val="24"/>
    </w:rPr>
  </w:style>
  <w:style w:type="paragraph" w:styleId="NormalIndent">
    <w:name w:val="Normal Indent"/>
    <w:basedOn w:val="Normal"/>
    <w:uiPriority w:val="99"/>
    <w:semiHidden/>
    <w:unhideWhenUsed/>
    <w:rsid w:val="001F2490"/>
    <w:pPr>
      <w:ind w:left="708"/>
    </w:pPr>
  </w:style>
  <w:style w:type="paragraph" w:styleId="NoteHeading">
    <w:name w:val="Note Heading"/>
    <w:basedOn w:val="Normal"/>
    <w:next w:val="Normal"/>
    <w:link w:val="NoteHeadingChar"/>
    <w:uiPriority w:val="99"/>
    <w:semiHidden/>
    <w:unhideWhenUsed/>
    <w:rsid w:val="001F2490"/>
  </w:style>
  <w:style w:type="character" w:customStyle="1" w:styleId="NoteHeadingChar">
    <w:name w:val="Note Heading Char"/>
    <w:basedOn w:val="DefaultParagraphFont"/>
    <w:link w:val="NoteHeading"/>
    <w:uiPriority w:val="99"/>
    <w:semiHidden/>
    <w:rsid w:val="001F2490"/>
  </w:style>
  <w:style w:type="paragraph" w:styleId="Salutation">
    <w:name w:val="Salutation"/>
    <w:basedOn w:val="Normal"/>
    <w:next w:val="Normal"/>
    <w:link w:val="SalutationChar"/>
    <w:uiPriority w:val="99"/>
    <w:semiHidden/>
    <w:unhideWhenUsed/>
    <w:rsid w:val="001F2490"/>
  </w:style>
  <w:style w:type="character" w:customStyle="1" w:styleId="SalutationChar">
    <w:name w:val="Salutation Char"/>
    <w:basedOn w:val="DefaultParagraphFont"/>
    <w:link w:val="Salutation"/>
    <w:uiPriority w:val="99"/>
    <w:semiHidden/>
    <w:rsid w:val="001F2490"/>
  </w:style>
  <w:style w:type="paragraph" w:styleId="Signature">
    <w:name w:val="Signature"/>
    <w:basedOn w:val="Normal"/>
    <w:link w:val="SignatureChar"/>
    <w:uiPriority w:val="99"/>
    <w:semiHidden/>
    <w:unhideWhenUsed/>
    <w:rsid w:val="001F2490"/>
    <w:pPr>
      <w:ind w:left="4252"/>
    </w:pPr>
  </w:style>
  <w:style w:type="character" w:customStyle="1" w:styleId="SignatureChar">
    <w:name w:val="Signature Char"/>
    <w:basedOn w:val="DefaultParagraphFont"/>
    <w:link w:val="Signature"/>
    <w:uiPriority w:val="99"/>
    <w:semiHidden/>
    <w:rsid w:val="001F2490"/>
  </w:style>
  <w:style w:type="paragraph" w:styleId="TableofAuthorities">
    <w:name w:val="table of authorities"/>
    <w:basedOn w:val="Normal"/>
    <w:next w:val="Normal"/>
    <w:uiPriority w:val="99"/>
    <w:semiHidden/>
    <w:unhideWhenUsed/>
    <w:rsid w:val="001F2490"/>
    <w:pPr>
      <w:ind w:left="200" w:hanging="200"/>
    </w:pPr>
  </w:style>
  <w:style w:type="paragraph" w:styleId="TOAHeading">
    <w:name w:val="toa heading"/>
    <w:basedOn w:val="Normal"/>
    <w:next w:val="Normal"/>
    <w:uiPriority w:val="99"/>
    <w:semiHidden/>
    <w:unhideWhenUsed/>
    <w:rsid w:val="001F2490"/>
    <w:pPr>
      <w:spacing w:before="120"/>
    </w:pPr>
    <w:rPr>
      <w:rFonts w:ascii="Cambria" w:eastAsia="Times New Roman" w:hAnsi="Cambria"/>
      <w:b/>
      <w:bCs/>
      <w:sz w:val="24"/>
      <w:szCs w:val="24"/>
    </w:rPr>
  </w:style>
  <w:style w:type="paragraph" w:styleId="TOC5">
    <w:name w:val="toc 5"/>
    <w:basedOn w:val="Normal"/>
    <w:next w:val="Normal"/>
    <w:autoRedefine/>
    <w:uiPriority w:val="39"/>
    <w:semiHidden/>
    <w:unhideWhenUsed/>
    <w:rsid w:val="001F2490"/>
    <w:pPr>
      <w:spacing w:after="100"/>
      <w:ind w:left="800"/>
    </w:pPr>
  </w:style>
  <w:style w:type="paragraph" w:styleId="TOC6">
    <w:name w:val="toc 6"/>
    <w:basedOn w:val="Normal"/>
    <w:next w:val="Normal"/>
    <w:autoRedefine/>
    <w:uiPriority w:val="39"/>
    <w:semiHidden/>
    <w:unhideWhenUsed/>
    <w:rsid w:val="001F2490"/>
    <w:pPr>
      <w:spacing w:after="100"/>
      <w:ind w:left="1000"/>
    </w:pPr>
  </w:style>
  <w:style w:type="paragraph" w:styleId="TOC7">
    <w:name w:val="toc 7"/>
    <w:basedOn w:val="Normal"/>
    <w:next w:val="Normal"/>
    <w:autoRedefine/>
    <w:uiPriority w:val="39"/>
    <w:semiHidden/>
    <w:unhideWhenUsed/>
    <w:rsid w:val="001F2490"/>
    <w:pPr>
      <w:spacing w:after="100"/>
      <w:ind w:left="1200"/>
    </w:pPr>
  </w:style>
  <w:style w:type="paragraph" w:styleId="TOC8">
    <w:name w:val="toc 8"/>
    <w:basedOn w:val="Normal"/>
    <w:next w:val="Normal"/>
    <w:autoRedefine/>
    <w:uiPriority w:val="39"/>
    <w:semiHidden/>
    <w:unhideWhenUsed/>
    <w:rsid w:val="001F2490"/>
    <w:pPr>
      <w:spacing w:after="100"/>
      <w:ind w:left="1400"/>
    </w:pPr>
  </w:style>
  <w:style w:type="paragraph" w:styleId="TOC9">
    <w:name w:val="toc 9"/>
    <w:basedOn w:val="Normal"/>
    <w:next w:val="Normal"/>
    <w:autoRedefine/>
    <w:uiPriority w:val="39"/>
    <w:semiHidden/>
    <w:unhideWhenUsed/>
    <w:rsid w:val="001F2490"/>
    <w:pPr>
      <w:spacing w:after="100"/>
      <w:ind w:left="1600"/>
    </w:pPr>
  </w:style>
  <w:style w:type="paragraph" w:styleId="TOCHeading">
    <w:name w:val="TOC Heading"/>
    <w:basedOn w:val="Heading1"/>
    <w:next w:val="Normal"/>
    <w:uiPriority w:val="39"/>
    <w:unhideWhenUsed/>
    <w:qFormat/>
    <w:rsid w:val="001F2490"/>
    <w:pPr>
      <w:keepLines/>
      <w:spacing w:before="240" w:after="0" w:line="240" w:lineRule="auto"/>
      <w:outlineLvl w:val="9"/>
    </w:pPr>
    <w:rPr>
      <w:rFonts w:ascii="Cambria" w:eastAsia="Times New Roman" w:hAnsi="Cambria"/>
      <w:b w:val="0"/>
      <w:color w:val="365F91"/>
      <w:sz w:val="32"/>
      <w:szCs w:val="32"/>
    </w:rPr>
  </w:style>
  <w:style w:type="character" w:customStyle="1" w:styleId="IEAFigureClosingChar">
    <w:name w:val="IEA_Figure_Closing Char"/>
    <w:link w:val="IEAFigureClosing"/>
    <w:rsid w:val="003B338A"/>
    <w:rPr>
      <w:rFonts w:ascii="Arial" w:eastAsia="Calibri" w:hAnsi="Arial"/>
      <w:b/>
      <w:color w:val="1F497D"/>
      <w:sz w:val="2"/>
      <w:szCs w:val="21"/>
    </w:rPr>
  </w:style>
  <w:style w:type="character" w:customStyle="1" w:styleId="IEAFigureCopyrightChar">
    <w:name w:val="IEA_Figure_Copyright Char"/>
    <w:link w:val="IEAFigureCopyright"/>
    <w:rsid w:val="00582A78"/>
    <w:rPr>
      <w:rFonts w:ascii="Arial" w:eastAsia="Malgun Gothic" w:hAnsi="Arial"/>
      <w:color w:val="808080"/>
      <w:sz w:val="16"/>
      <w:szCs w:val="16"/>
    </w:rPr>
  </w:style>
  <w:style w:type="character" w:customStyle="1" w:styleId="IEAFigurePlaceChar">
    <w:name w:val="IEA_Figure_Place Char"/>
    <w:link w:val="IEAFigurePlace"/>
    <w:rsid w:val="003B338A"/>
    <w:rPr>
      <w:rFonts w:ascii="Arial" w:eastAsia="Calibri" w:hAnsi="Arial"/>
      <w:b/>
      <w:color w:val="1F497D"/>
      <w:szCs w:val="21"/>
    </w:rPr>
  </w:style>
  <w:style w:type="character" w:customStyle="1" w:styleId="IEABoxFigurePositionChar">
    <w:name w:val="IEA_Box_Figure_Position Char"/>
    <w:link w:val="IEABoxFigurePosition"/>
    <w:rsid w:val="003B338A"/>
    <w:rPr>
      <w:rFonts w:ascii="Arial" w:eastAsia="Calibri" w:hAnsi="Arial"/>
      <w:b/>
      <w:color w:val="1F497D"/>
      <w:szCs w:val="21"/>
    </w:rPr>
  </w:style>
  <w:style w:type="character" w:customStyle="1" w:styleId="TOC1Char">
    <w:name w:val="TOC 1 Char"/>
    <w:aliases w:val="IEA_TOC 1 Char"/>
    <w:link w:val="TOC1"/>
    <w:uiPriority w:val="39"/>
    <w:rsid w:val="00130299"/>
    <w:rPr>
      <w:rFonts w:ascii="Arial" w:hAnsi="Arial"/>
      <w:b/>
      <w:color w:val="000000"/>
      <w:sz w:val="21"/>
    </w:rPr>
  </w:style>
  <w:style w:type="character" w:customStyle="1" w:styleId="TOC2Char">
    <w:name w:val="TOC 2 Char"/>
    <w:aliases w:val="IEA_TOC 2 Char"/>
    <w:link w:val="TOC2"/>
    <w:uiPriority w:val="39"/>
    <w:rsid w:val="00130299"/>
    <w:rPr>
      <w:rFonts w:ascii="Arial" w:hAnsi="Arial"/>
      <w:color w:val="000000"/>
      <w:sz w:val="21"/>
    </w:rPr>
  </w:style>
  <w:style w:type="character" w:customStyle="1" w:styleId="TOC3Char">
    <w:name w:val="TOC 3 Char"/>
    <w:aliases w:val="IEA_TOC 3 Char"/>
    <w:link w:val="TOC3"/>
    <w:uiPriority w:val="39"/>
    <w:rsid w:val="003B338A"/>
    <w:rPr>
      <w:rFonts w:ascii="Arial" w:hAnsi="Arial"/>
    </w:rPr>
  </w:style>
  <w:style w:type="character" w:customStyle="1" w:styleId="TableofFiguresChar">
    <w:name w:val="Table of Figures Char"/>
    <w:aliases w:val="IEA_TOC_list of Char"/>
    <w:link w:val="TableofFigures"/>
    <w:uiPriority w:val="99"/>
    <w:rsid w:val="00130299"/>
    <w:rPr>
      <w:rFonts w:ascii="Arial" w:hAnsi="Arial"/>
      <w:color w:val="000000"/>
    </w:rPr>
  </w:style>
  <w:style w:type="paragraph" w:styleId="Title">
    <w:name w:val="Title"/>
    <w:basedOn w:val="Normal"/>
    <w:link w:val="TitleChar"/>
    <w:uiPriority w:val="10"/>
    <w:qFormat/>
    <w:rsid w:val="00CD1D20"/>
    <w:pPr>
      <w:widowControl w:val="0"/>
      <w:autoSpaceDE w:val="0"/>
      <w:autoSpaceDN w:val="0"/>
      <w:spacing w:before="138"/>
      <w:ind w:left="380" w:right="314"/>
    </w:pPr>
    <w:rPr>
      <w:rFonts w:ascii="Graphik Semibold" w:eastAsia="Graphik Semibold" w:hAnsi="Graphik Semibold" w:cs="Graphik Semibold"/>
      <w:color w:val="auto"/>
      <w:sz w:val="49"/>
      <w:szCs w:val="49"/>
    </w:rPr>
  </w:style>
  <w:style w:type="character" w:customStyle="1" w:styleId="TitleChar">
    <w:name w:val="Title Char"/>
    <w:basedOn w:val="DefaultParagraphFont"/>
    <w:link w:val="Title"/>
    <w:uiPriority w:val="10"/>
    <w:rsid w:val="00CD1D20"/>
    <w:rPr>
      <w:rFonts w:ascii="Graphik Semibold" w:eastAsia="Graphik Semibold" w:hAnsi="Graphik Semibold" w:cs="Graphik Semibold"/>
      <w:sz w:val="49"/>
      <w:szCs w:val="49"/>
    </w:rPr>
  </w:style>
  <w:style w:type="paragraph" w:customStyle="1" w:styleId="paragraph">
    <w:name w:val="paragraph"/>
    <w:basedOn w:val="Normal"/>
    <w:rsid w:val="00E86A61"/>
    <w:pPr>
      <w:spacing w:before="100" w:beforeAutospacing="1" w:after="100" w:afterAutospacing="1"/>
    </w:pPr>
    <w:rPr>
      <w:rFonts w:eastAsia="Times New Roman" w:cs="Calibri"/>
      <w:color w:val="auto"/>
      <w:szCs w:val="22"/>
    </w:rPr>
  </w:style>
  <w:style w:type="character" w:customStyle="1" w:styleId="eop">
    <w:name w:val="eop"/>
    <w:basedOn w:val="DefaultParagraphFont"/>
    <w:rsid w:val="00E86A61"/>
  </w:style>
  <w:style w:type="character" w:customStyle="1" w:styleId="UnresolvedMention1">
    <w:name w:val="Unresolved Mention1"/>
    <w:basedOn w:val="DefaultParagraphFont"/>
    <w:uiPriority w:val="99"/>
    <w:semiHidden/>
    <w:unhideWhenUsed/>
    <w:rsid w:val="00582A78"/>
    <w:rPr>
      <w:color w:val="605E5C"/>
      <w:shd w:val="clear" w:color="auto" w:fill="E1DFDD"/>
    </w:rPr>
  </w:style>
  <w:style w:type="paragraph" w:styleId="ListParagraph">
    <w:name w:val="List Paragraph"/>
    <w:basedOn w:val="Normal"/>
    <w:uiPriority w:val="34"/>
    <w:qFormat/>
    <w:rsid w:val="00DD37A8"/>
    <w:pPr>
      <w:ind w:left="720"/>
      <w:contextualSpacing/>
    </w:pPr>
  </w:style>
  <w:style w:type="paragraph" w:customStyle="1" w:styleId="IEASummaryTitle">
    <w:name w:val="IEA_Summary Title"/>
    <w:basedOn w:val="Heading4"/>
    <w:qFormat/>
    <w:rsid w:val="0065701D"/>
    <w:pPr>
      <w:spacing w:before="0" w:after="240"/>
      <w:ind w:left="215"/>
    </w:pPr>
  </w:style>
  <w:style w:type="paragraph" w:customStyle="1" w:styleId="IEACaption">
    <w:name w:val="IEA Caption"/>
    <w:basedOn w:val="Normal"/>
    <w:link w:val="IEACaptionChar"/>
    <w:qFormat/>
    <w:rsid w:val="00DD49B4"/>
    <w:pPr>
      <w:spacing w:after="160" w:line="278" w:lineRule="auto"/>
      <w:jc w:val="center"/>
    </w:pPr>
    <w:rPr>
      <w:rFonts w:ascii="Calibri" w:eastAsiaTheme="minorHAnsi" w:hAnsi="Calibri" w:cstheme="minorBidi"/>
      <w:color w:val="auto"/>
      <w:kern w:val="2"/>
      <w:sz w:val="18"/>
      <w:szCs w:val="18"/>
      <w14:ligatures w14:val="standardContextual"/>
    </w:rPr>
  </w:style>
  <w:style w:type="character" w:customStyle="1" w:styleId="IEACaptionChar">
    <w:name w:val="IEA Caption Char"/>
    <w:basedOn w:val="DefaultParagraphFont"/>
    <w:link w:val="IEACaption"/>
    <w:rsid w:val="00DD49B4"/>
    <w:rPr>
      <w:rFonts w:eastAsiaTheme="minorHAnsi" w:cstheme="minorBidi"/>
      <w:kern w:val="2"/>
      <w:sz w:val="18"/>
      <w:szCs w:val="18"/>
      <w14:ligatures w14:val="standardContextual"/>
    </w:rPr>
  </w:style>
  <w:style w:type="paragraph" w:customStyle="1" w:styleId="P68B1DB1-Titlu1">
    <w:name w:val="P68B1DB1-Titlu1"/>
    <w:basedOn w:val="Title"/>
    <w:rPr>
      <w:rFonts w:ascii="Arial" w:hAnsi="Arial" w:cs="Arial"/>
      <w:b/>
    </w:rPr>
  </w:style>
  <w:style w:type="paragraph" w:customStyle="1" w:styleId="P68B1DB1-Normal2">
    <w:name w:val="P68B1DB1-Normal2"/>
    <w:basedOn w:val="Normal"/>
    <w:rPr>
      <w:rFonts w:cs="Arial"/>
      <w:sz w:val="19"/>
    </w:rPr>
  </w:style>
  <w:style w:type="paragraph" w:customStyle="1" w:styleId="P68B1DB1-Normal3">
    <w:name w:val="P68B1DB1-Normal3"/>
    <w:basedOn w:val="Normal"/>
    <w:rPr>
      <w:rFonts w:cs="Arial"/>
    </w:rPr>
  </w:style>
  <w:style w:type="paragraph" w:customStyle="1" w:styleId="P68B1DB1-Normal4">
    <w:name w:val="P68B1DB1-Normal4"/>
    <w:basedOn w:val="Normal"/>
    <w:rPr>
      <w:rFonts w:cs="Arial"/>
      <w:b/>
      <w:color w:val="FFFFFF"/>
    </w:rPr>
  </w:style>
  <w:style w:type="paragraph" w:customStyle="1" w:styleId="P68B1DB1-Normal5">
    <w:name w:val="P68B1DB1-Normal5"/>
    <w:basedOn w:val="Normal"/>
    <w:rPr>
      <w:rFonts w:eastAsia="Times New Roman" w:cs="Calibri"/>
      <w:b/>
      <w:color w:val="FFFFFF" w:themeColor="background1"/>
    </w:rPr>
  </w:style>
  <w:style w:type="paragraph" w:customStyle="1" w:styleId="P68B1DB1-Normal6">
    <w:name w:val="P68B1DB1-Normal6"/>
    <w:basedOn w:val="Normal"/>
    <w:rPr>
      <w:b/>
      <w:color w:val="FFFFFF" w:themeColor="background1"/>
    </w:rPr>
  </w:style>
  <w:style w:type="paragraph" w:customStyle="1" w:styleId="P68B1DB1-Normal7">
    <w:name w:val="P68B1DB1-Normal7"/>
    <w:basedOn w:val="Normal"/>
    <w:rPr>
      <w:rFonts w:eastAsia="Times New Roman" w:cs="Calibri"/>
    </w:rPr>
  </w:style>
  <w:style w:type="paragraph" w:customStyle="1" w:styleId="P68B1DB1-IEABodyText8">
    <w:name w:val="P68B1DB1-IEABodyText8"/>
    <w:basedOn w:val="IEABodyText"/>
    <w:rPr>
      <w:highlight w:val="yellow"/>
    </w:rPr>
  </w:style>
  <w:style w:type="paragraph" w:customStyle="1" w:styleId="P68B1DB1-Normal9">
    <w:name w:val="P68B1DB1-Normal9"/>
    <w:basedOn w:val="Normal"/>
    <w:rPr>
      <w:rFonts w:cs="Arial"/>
      <w:b/>
    </w:rPr>
  </w:style>
  <w:style w:type="paragraph" w:customStyle="1" w:styleId="P68B1DB1-Normal10">
    <w:name w:val="P68B1DB1-Normal10"/>
    <w:basedOn w:val="Normal"/>
    <w:rPr>
      <w:b/>
    </w:rPr>
  </w:style>
  <w:style w:type="paragraph" w:customStyle="1" w:styleId="P68B1DB1-Normal11">
    <w:name w:val="P68B1DB1-Normal11"/>
    <w:basedOn w:val="Normal"/>
    <w:rPr>
      <w:b/>
      <w:sz w:val="18"/>
    </w:rPr>
  </w:style>
  <w:style w:type="paragraph" w:customStyle="1" w:styleId="P68B1DB1-Normal12">
    <w:name w:val="P68B1DB1-Normal12"/>
    <w:basedOn w:val="Normal"/>
    <w:rPr>
      <w:sz w:val="16"/>
    </w:rPr>
  </w:style>
  <w:style w:type="paragraph" w:customStyle="1" w:styleId="P68B1DB1-Normal13">
    <w:name w:val="P68B1DB1-Normal13"/>
    <w:basedOn w:val="Normal"/>
    <w:rPr>
      <w:color w:val="808080"/>
    </w:rPr>
  </w:style>
  <w:style w:type="paragraph" w:customStyle="1" w:styleId="P68B1DB1-Normal14">
    <w:name w:val="P68B1DB1-Normal14"/>
    <w:basedOn w:val="Normal"/>
    <w:rPr>
      <w:rFonts w:cs="Arial"/>
      <w:color w:val="A6A6A6"/>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59281">
      <w:bodyDiv w:val="1"/>
      <w:marLeft w:val="0"/>
      <w:marRight w:val="0"/>
      <w:marTop w:val="0"/>
      <w:marBottom w:val="0"/>
      <w:divBdr>
        <w:top w:val="none" w:sz="0" w:space="0" w:color="auto"/>
        <w:left w:val="none" w:sz="0" w:space="0" w:color="auto"/>
        <w:bottom w:val="none" w:sz="0" w:space="0" w:color="auto"/>
        <w:right w:val="none" w:sz="0" w:space="0" w:color="auto"/>
      </w:divBdr>
    </w:div>
    <w:div w:id="57365103">
      <w:bodyDiv w:val="1"/>
      <w:marLeft w:val="0"/>
      <w:marRight w:val="0"/>
      <w:marTop w:val="0"/>
      <w:marBottom w:val="0"/>
      <w:divBdr>
        <w:top w:val="none" w:sz="0" w:space="0" w:color="auto"/>
        <w:left w:val="none" w:sz="0" w:space="0" w:color="auto"/>
        <w:bottom w:val="none" w:sz="0" w:space="0" w:color="auto"/>
        <w:right w:val="none" w:sz="0" w:space="0" w:color="auto"/>
      </w:divBdr>
    </w:div>
    <w:div w:id="63645124">
      <w:bodyDiv w:val="1"/>
      <w:marLeft w:val="0"/>
      <w:marRight w:val="0"/>
      <w:marTop w:val="0"/>
      <w:marBottom w:val="0"/>
      <w:divBdr>
        <w:top w:val="none" w:sz="0" w:space="0" w:color="auto"/>
        <w:left w:val="none" w:sz="0" w:space="0" w:color="auto"/>
        <w:bottom w:val="none" w:sz="0" w:space="0" w:color="auto"/>
        <w:right w:val="none" w:sz="0" w:space="0" w:color="auto"/>
      </w:divBdr>
    </w:div>
    <w:div w:id="64840599">
      <w:bodyDiv w:val="1"/>
      <w:marLeft w:val="0"/>
      <w:marRight w:val="0"/>
      <w:marTop w:val="0"/>
      <w:marBottom w:val="0"/>
      <w:divBdr>
        <w:top w:val="none" w:sz="0" w:space="0" w:color="auto"/>
        <w:left w:val="none" w:sz="0" w:space="0" w:color="auto"/>
        <w:bottom w:val="none" w:sz="0" w:space="0" w:color="auto"/>
        <w:right w:val="none" w:sz="0" w:space="0" w:color="auto"/>
      </w:divBdr>
    </w:div>
    <w:div w:id="100154920">
      <w:bodyDiv w:val="1"/>
      <w:marLeft w:val="0"/>
      <w:marRight w:val="0"/>
      <w:marTop w:val="0"/>
      <w:marBottom w:val="0"/>
      <w:divBdr>
        <w:top w:val="none" w:sz="0" w:space="0" w:color="auto"/>
        <w:left w:val="none" w:sz="0" w:space="0" w:color="auto"/>
        <w:bottom w:val="none" w:sz="0" w:space="0" w:color="auto"/>
        <w:right w:val="none" w:sz="0" w:space="0" w:color="auto"/>
      </w:divBdr>
    </w:div>
    <w:div w:id="146364419">
      <w:bodyDiv w:val="1"/>
      <w:marLeft w:val="0"/>
      <w:marRight w:val="0"/>
      <w:marTop w:val="0"/>
      <w:marBottom w:val="0"/>
      <w:divBdr>
        <w:top w:val="none" w:sz="0" w:space="0" w:color="auto"/>
        <w:left w:val="none" w:sz="0" w:space="0" w:color="auto"/>
        <w:bottom w:val="none" w:sz="0" w:space="0" w:color="auto"/>
        <w:right w:val="none" w:sz="0" w:space="0" w:color="auto"/>
      </w:divBdr>
    </w:div>
    <w:div w:id="224029165">
      <w:bodyDiv w:val="1"/>
      <w:marLeft w:val="0"/>
      <w:marRight w:val="0"/>
      <w:marTop w:val="0"/>
      <w:marBottom w:val="0"/>
      <w:divBdr>
        <w:top w:val="none" w:sz="0" w:space="0" w:color="auto"/>
        <w:left w:val="none" w:sz="0" w:space="0" w:color="auto"/>
        <w:bottom w:val="none" w:sz="0" w:space="0" w:color="auto"/>
        <w:right w:val="none" w:sz="0" w:space="0" w:color="auto"/>
      </w:divBdr>
    </w:div>
    <w:div w:id="401410587">
      <w:bodyDiv w:val="1"/>
      <w:marLeft w:val="0"/>
      <w:marRight w:val="0"/>
      <w:marTop w:val="0"/>
      <w:marBottom w:val="0"/>
      <w:divBdr>
        <w:top w:val="none" w:sz="0" w:space="0" w:color="auto"/>
        <w:left w:val="none" w:sz="0" w:space="0" w:color="auto"/>
        <w:bottom w:val="none" w:sz="0" w:space="0" w:color="auto"/>
        <w:right w:val="none" w:sz="0" w:space="0" w:color="auto"/>
      </w:divBdr>
    </w:div>
    <w:div w:id="409665833">
      <w:bodyDiv w:val="1"/>
      <w:marLeft w:val="0"/>
      <w:marRight w:val="0"/>
      <w:marTop w:val="0"/>
      <w:marBottom w:val="0"/>
      <w:divBdr>
        <w:top w:val="none" w:sz="0" w:space="0" w:color="auto"/>
        <w:left w:val="none" w:sz="0" w:space="0" w:color="auto"/>
        <w:bottom w:val="none" w:sz="0" w:space="0" w:color="auto"/>
        <w:right w:val="none" w:sz="0" w:space="0" w:color="auto"/>
      </w:divBdr>
    </w:div>
    <w:div w:id="420034018">
      <w:bodyDiv w:val="1"/>
      <w:marLeft w:val="0"/>
      <w:marRight w:val="0"/>
      <w:marTop w:val="0"/>
      <w:marBottom w:val="0"/>
      <w:divBdr>
        <w:top w:val="none" w:sz="0" w:space="0" w:color="auto"/>
        <w:left w:val="none" w:sz="0" w:space="0" w:color="auto"/>
        <w:bottom w:val="none" w:sz="0" w:space="0" w:color="auto"/>
        <w:right w:val="none" w:sz="0" w:space="0" w:color="auto"/>
      </w:divBdr>
    </w:div>
    <w:div w:id="469637809">
      <w:bodyDiv w:val="1"/>
      <w:marLeft w:val="0"/>
      <w:marRight w:val="0"/>
      <w:marTop w:val="0"/>
      <w:marBottom w:val="0"/>
      <w:divBdr>
        <w:top w:val="none" w:sz="0" w:space="0" w:color="auto"/>
        <w:left w:val="none" w:sz="0" w:space="0" w:color="auto"/>
        <w:bottom w:val="none" w:sz="0" w:space="0" w:color="auto"/>
        <w:right w:val="none" w:sz="0" w:space="0" w:color="auto"/>
      </w:divBdr>
      <w:divsChild>
        <w:div w:id="179205301">
          <w:marLeft w:val="720"/>
          <w:marRight w:val="0"/>
          <w:marTop w:val="0"/>
          <w:marBottom w:val="120"/>
          <w:divBdr>
            <w:top w:val="none" w:sz="0" w:space="0" w:color="auto"/>
            <w:left w:val="none" w:sz="0" w:space="0" w:color="auto"/>
            <w:bottom w:val="none" w:sz="0" w:space="0" w:color="auto"/>
            <w:right w:val="none" w:sz="0" w:space="0" w:color="auto"/>
          </w:divBdr>
        </w:div>
        <w:div w:id="1366911110">
          <w:marLeft w:val="0"/>
          <w:marRight w:val="0"/>
          <w:marTop w:val="0"/>
          <w:marBottom w:val="120"/>
          <w:divBdr>
            <w:top w:val="none" w:sz="0" w:space="0" w:color="auto"/>
            <w:left w:val="none" w:sz="0" w:space="0" w:color="auto"/>
            <w:bottom w:val="none" w:sz="0" w:space="0" w:color="auto"/>
            <w:right w:val="none" w:sz="0" w:space="0" w:color="auto"/>
          </w:divBdr>
        </w:div>
        <w:div w:id="1776712350">
          <w:marLeft w:val="0"/>
          <w:marRight w:val="0"/>
          <w:marTop w:val="0"/>
          <w:marBottom w:val="120"/>
          <w:divBdr>
            <w:top w:val="none" w:sz="0" w:space="0" w:color="auto"/>
            <w:left w:val="none" w:sz="0" w:space="0" w:color="auto"/>
            <w:bottom w:val="none" w:sz="0" w:space="0" w:color="auto"/>
            <w:right w:val="none" w:sz="0" w:space="0" w:color="auto"/>
          </w:divBdr>
        </w:div>
        <w:div w:id="1837725400">
          <w:marLeft w:val="720"/>
          <w:marRight w:val="0"/>
          <w:marTop w:val="0"/>
          <w:marBottom w:val="120"/>
          <w:divBdr>
            <w:top w:val="none" w:sz="0" w:space="0" w:color="auto"/>
            <w:left w:val="none" w:sz="0" w:space="0" w:color="auto"/>
            <w:bottom w:val="none" w:sz="0" w:space="0" w:color="auto"/>
            <w:right w:val="none" w:sz="0" w:space="0" w:color="auto"/>
          </w:divBdr>
        </w:div>
        <w:div w:id="1925914873">
          <w:marLeft w:val="720"/>
          <w:marRight w:val="0"/>
          <w:marTop w:val="0"/>
          <w:marBottom w:val="120"/>
          <w:divBdr>
            <w:top w:val="none" w:sz="0" w:space="0" w:color="auto"/>
            <w:left w:val="none" w:sz="0" w:space="0" w:color="auto"/>
            <w:bottom w:val="none" w:sz="0" w:space="0" w:color="auto"/>
            <w:right w:val="none" w:sz="0" w:space="0" w:color="auto"/>
          </w:divBdr>
        </w:div>
      </w:divsChild>
    </w:div>
    <w:div w:id="522862747">
      <w:bodyDiv w:val="1"/>
      <w:marLeft w:val="0"/>
      <w:marRight w:val="0"/>
      <w:marTop w:val="0"/>
      <w:marBottom w:val="0"/>
      <w:divBdr>
        <w:top w:val="none" w:sz="0" w:space="0" w:color="auto"/>
        <w:left w:val="none" w:sz="0" w:space="0" w:color="auto"/>
        <w:bottom w:val="none" w:sz="0" w:space="0" w:color="auto"/>
        <w:right w:val="none" w:sz="0" w:space="0" w:color="auto"/>
      </w:divBdr>
    </w:div>
    <w:div w:id="531110009">
      <w:bodyDiv w:val="1"/>
      <w:marLeft w:val="0"/>
      <w:marRight w:val="0"/>
      <w:marTop w:val="0"/>
      <w:marBottom w:val="0"/>
      <w:divBdr>
        <w:top w:val="none" w:sz="0" w:space="0" w:color="auto"/>
        <w:left w:val="none" w:sz="0" w:space="0" w:color="auto"/>
        <w:bottom w:val="none" w:sz="0" w:space="0" w:color="auto"/>
        <w:right w:val="none" w:sz="0" w:space="0" w:color="auto"/>
      </w:divBdr>
    </w:div>
    <w:div w:id="568924025">
      <w:bodyDiv w:val="1"/>
      <w:marLeft w:val="0"/>
      <w:marRight w:val="0"/>
      <w:marTop w:val="0"/>
      <w:marBottom w:val="0"/>
      <w:divBdr>
        <w:top w:val="none" w:sz="0" w:space="0" w:color="auto"/>
        <w:left w:val="none" w:sz="0" w:space="0" w:color="auto"/>
        <w:bottom w:val="none" w:sz="0" w:space="0" w:color="auto"/>
        <w:right w:val="none" w:sz="0" w:space="0" w:color="auto"/>
      </w:divBdr>
    </w:div>
    <w:div w:id="583340225">
      <w:bodyDiv w:val="1"/>
      <w:marLeft w:val="0"/>
      <w:marRight w:val="0"/>
      <w:marTop w:val="0"/>
      <w:marBottom w:val="0"/>
      <w:divBdr>
        <w:top w:val="none" w:sz="0" w:space="0" w:color="auto"/>
        <w:left w:val="none" w:sz="0" w:space="0" w:color="auto"/>
        <w:bottom w:val="none" w:sz="0" w:space="0" w:color="auto"/>
        <w:right w:val="none" w:sz="0" w:space="0" w:color="auto"/>
      </w:divBdr>
    </w:div>
    <w:div w:id="779028275">
      <w:bodyDiv w:val="1"/>
      <w:marLeft w:val="0"/>
      <w:marRight w:val="0"/>
      <w:marTop w:val="0"/>
      <w:marBottom w:val="0"/>
      <w:divBdr>
        <w:top w:val="none" w:sz="0" w:space="0" w:color="auto"/>
        <w:left w:val="none" w:sz="0" w:space="0" w:color="auto"/>
        <w:bottom w:val="none" w:sz="0" w:space="0" w:color="auto"/>
        <w:right w:val="none" w:sz="0" w:space="0" w:color="auto"/>
      </w:divBdr>
    </w:div>
    <w:div w:id="781613479">
      <w:bodyDiv w:val="1"/>
      <w:marLeft w:val="0"/>
      <w:marRight w:val="0"/>
      <w:marTop w:val="0"/>
      <w:marBottom w:val="0"/>
      <w:divBdr>
        <w:top w:val="none" w:sz="0" w:space="0" w:color="auto"/>
        <w:left w:val="none" w:sz="0" w:space="0" w:color="auto"/>
        <w:bottom w:val="none" w:sz="0" w:space="0" w:color="auto"/>
        <w:right w:val="none" w:sz="0" w:space="0" w:color="auto"/>
      </w:divBdr>
    </w:div>
    <w:div w:id="799303126">
      <w:bodyDiv w:val="1"/>
      <w:marLeft w:val="0"/>
      <w:marRight w:val="0"/>
      <w:marTop w:val="0"/>
      <w:marBottom w:val="0"/>
      <w:divBdr>
        <w:top w:val="none" w:sz="0" w:space="0" w:color="auto"/>
        <w:left w:val="none" w:sz="0" w:space="0" w:color="auto"/>
        <w:bottom w:val="none" w:sz="0" w:space="0" w:color="auto"/>
        <w:right w:val="none" w:sz="0" w:space="0" w:color="auto"/>
      </w:divBdr>
    </w:div>
    <w:div w:id="891229398">
      <w:bodyDiv w:val="1"/>
      <w:marLeft w:val="0"/>
      <w:marRight w:val="0"/>
      <w:marTop w:val="0"/>
      <w:marBottom w:val="0"/>
      <w:divBdr>
        <w:top w:val="none" w:sz="0" w:space="0" w:color="auto"/>
        <w:left w:val="none" w:sz="0" w:space="0" w:color="auto"/>
        <w:bottom w:val="none" w:sz="0" w:space="0" w:color="auto"/>
        <w:right w:val="none" w:sz="0" w:space="0" w:color="auto"/>
      </w:divBdr>
      <w:divsChild>
        <w:div w:id="226454039">
          <w:marLeft w:val="720"/>
          <w:marRight w:val="0"/>
          <w:marTop w:val="0"/>
          <w:marBottom w:val="120"/>
          <w:divBdr>
            <w:top w:val="none" w:sz="0" w:space="0" w:color="auto"/>
            <w:left w:val="none" w:sz="0" w:space="0" w:color="auto"/>
            <w:bottom w:val="none" w:sz="0" w:space="0" w:color="auto"/>
            <w:right w:val="none" w:sz="0" w:space="0" w:color="auto"/>
          </w:divBdr>
        </w:div>
        <w:div w:id="673998937">
          <w:marLeft w:val="0"/>
          <w:marRight w:val="0"/>
          <w:marTop w:val="0"/>
          <w:marBottom w:val="120"/>
          <w:divBdr>
            <w:top w:val="none" w:sz="0" w:space="0" w:color="auto"/>
            <w:left w:val="none" w:sz="0" w:space="0" w:color="auto"/>
            <w:bottom w:val="none" w:sz="0" w:space="0" w:color="auto"/>
            <w:right w:val="none" w:sz="0" w:space="0" w:color="auto"/>
          </w:divBdr>
        </w:div>
        <w:div w:id="763692531">
          <w:marLeft w:val="720"/>
          <w:marRight w:val="0"/>
          <w:marTop w:val="0"/>
          <w:marBottom w:val="120"/>
          <w:divBdr>
            <w:top w:val="none" w:sz="0" w:space="0" w:color="auto"/>
            <w:left w:val="none" w:sz="0" w:space="0" w:color="auto"/>
            <w:bottom w:val="none" w:sz="0" w:space="0" w:color="auto"/>
            <w:right w:val="none" w:sz="0" w:space="0" w:color="auto"/>
          </w:divBdr>
        </w:div>
        <w:div w:id="918948118">
          <w:marLeft w:val="720"/>
          <w:marRight w:val="0"/>
          <w:marTop w:val="0"/>
          <w:marBottom w:val="120"/>
          <w:divBdr>
            <w:top w:val="none" w:sz="0" w:space="0" w:color="auto"/>
            <w:left w:val="none" w:sz="0" w:space="0" w:color="auto"/>
            <w:bottom w:val="none" w:sz="0" w:space="0" w:color="auto"/>
            <w:right w:val="none" w:sz="0" w:space="0" w:color="auto"/>
          </w:divBdr>
        </w:div>
        <w:div w:id="1500582527">
          <w:marLeft w:val="0"/>
          <w:marRight w:val="0"/>
          <w:marTop w:val="0"/>
          <w:marBottom w:val="120"/>
          <w:divBdr>
            <w:top w:val="none" w:sz="0" w:space="0" w:color="auto"/>
            <w:left w:val="none" w:sz="0" w:space="0" w:color="auto"/>
            <w:bottom w:val="none" w:sz="0" w:space="0" w:color="auto"/>
            <w:right w:val="none" w:sz="0" w:space="0" w:color="auto"/>
          </w:divBdr>
        </w:div>
      </w:divsChild>
    </w:div>
    <w:div w:id="936670524">
      <w:bodyDiv w:val="1"/>
      <w:marLeft w:val="0"/>
      <w:marRight w:val="0"/>
      <w:marTop w:val="0"/>
      <w:marBottom w:val="0"/>
      <w:divBdr>
        <w:top w:val="none" w:sz="0" w:space="0" w:color="auto"/>
        <w:left w:val="none" w:sz="0" w:space="0" w:color="auto"/>
        <w:bottom w:val="none" w:sz="0" w:space="0" w:color="auto"/>
        <w:right w:val="none" w:sz="0" w:space="0" w:color="auto"/>
      </w:divBdr>
    </w:div>
    <w:div w:id="947276345">
      <w:bodyDiv w:val="1"/>
      <w:marLeft w:val="0"/>
      <w:marRight w:val="0"/>
      <w:marTop w:val="0"/>
      <w:marBottom w:val="0"/>
      <w:divBdr>
        <w:top w:val="none" w:sz="0" w:space="0" w:color="auto"/>
        <w:left w:val="none" w:sz="0" w:space="0" w:color="auto"/>
        <w:bottom w:val="none" w:sz="0" w:space="0" w:color="auto"/>
        <w:right w:val="none" w:sz="0" w:space="0" w:color="auto"/>
      </w:divBdr>
    </w:div>
    <w:div w:id="1067726267">
      <w:bodyDiv w:val="1"/>
      <w:marLeft w:val="0"/>
      <w:marRight w:val="0"/>
      <w:marTop w:val="0"/>
      <w:marBottom w:val="0"/>
      <w:divBdr>
        <w:top w:val="none" w:sz="0" w:space="0" w:color="auto"/>
        <w:left w:val="none" w:sz="0" w:space="0" w:color="auto"/>
        <w:bottom w:val="none" w:sz="0" w:space="0" w:color="auto"/>
        <w:right w:val="none" w:sz="0" w:space="0" w:color="auto"/>
      </w:divBdr>
    </w:div>
    <w:div w:id="1076438604">
      <w:bodyDiv w:val="1"/>
      <w:marLeft w:val="0"/>
      <w:marRight w:val="0"/>
      <w:marTop w:val="0"/>
      <w:marBottom w:val="0"/>
      <w:divBdr>
        <w:top w:val="none" w:sz="0" w:space="0" w:color="auto"/>
        <w:left w:val="none" w:sz="0" w:space="0" w:color="auto"/>
        <w:bottom w:val="none" w:sz="0" w:space="0" w:color="auto"/>
        <w:right w:val="none" w:sz="0" w:space="0" w:color="auto"/>
      </w:divBdr>
    </w:div>
    <w:div w:id="1106272706">
      <w:bodyDiv w:val="1"/>
      <w:marLeft w:val="0"/>
      <w:marRight w:val="0"/>
      <w:marTop w:val="0"/>
      <w:marBottom w:val="0"/>
      <w:divBdr>
        <w:top w:val="none" w:sz="0" w:space="0" w:color="auto"/>
        <w:left w:val="none" w:sz="0" w:space="0" w:color="auto"/>
        <w:bottom w:val="none" w:sz="0" w:space="0" w:color="auto"/>
        <w:right w:val="none" w:sz="0" w:space="0" w:color="auto"/>
      </w:divBdr>
    </w:div>
    <w:div w:id="1225406720">
      <w:bodyDiv w:val="1"/>
      <w:marLeft w:val="0"/>
      <w:marRight w:val="0"/>
      <w:marTop w:val="0"/>
      <w:marBottom w:val="0"/>
      <w:divBdr>
        <w:top w:val="none" w:sz="0" w:space="0" w:color="auto"/>
        <w:left w:val="none" w:sz="0" w:space="0" w:color="auto"/>
        <w:bottom w:val="none" w:sz="0" w:space="0" w:color="auto"/>
        <w:right w:val="none" w:sz="0" w:space="0" w:color="auto"/>
      </w:divBdr>
    </w:div>
    <w:div w:id="1366252250">
      <w:bodyDiv w:val="1"/>
      <w:marLeft w:val="0"/>
      <w:marRight w:val="0"/>
      <w:marTop w:val="0"/>
      <w:marBottom w:val="0"/>
      <w:divBdr>
        <w:top w:val="none" w:sz="0" w:space="0" w:color="auto"/>
        <w:left w:val="none" w:sz="0" w:space="0" w:color="auto"/>
        <w:bottom w:val="none" w:sz="0" w:space="0" w:color="auto"/>
        <w:right w:val="none" w:sz="0" w:space="0" w:color="auto"/>
      </w:divBdr>
      <w:divsChild>
        <w:div w:id="97528173">
          <w:marLeft w:val="0"/>
          <w:marRight w:val="0"/>
          <w:marTop w:val="0"/>
          <w:marBottom w:val="120"/>
          <w:divBdr>
            <w:top w:val="none" w:sz="0" w:space="0" w:color="auto"/>
            <w:left w:val="none" w:sz="0" w:space="0" w:color="auto"/>
            <w:bottom w:val="none" w:sz="0" w:space="0" w:color="auto"/>
            <w:right w:val="none" w:sz="0" w:space="0" w:color="auto"/>
          </w:divBdr>
        </w:div>
        <w:div w:id="474684329">
          <w:marLeft w:val="0"/>
          <w:marRight w:val="0"/>
          <w:marTop w:val="0"/>
          <w:marBottom w:val="120"/>
          <w:divBdr>
            <w:top w:val="none" w:sz="0" w:space="0" w:color="auto"/>
            <w:left w:val="none" w:sz="0" w:space="0" w:color="auto"/>
            <w:bottom w:val="none" w:sz="0" w:space="0" w:color="auto"/>
            <w:right w:val="none" w:sz="0" w:space="0" w:color="auto"/>
          </w:divBdr>
        </w:div>
        <w:div w:id="608976650">
          <w:marLeft w:val="720"/>
          <w:marRight w:val="0"/>
          <w:marTop w:val="0"/>
          <w:marBottom w:val="120"/>
          <w:divBdr>
            <w:top w:val="none" w:sz="0" w:space="0" w:color="auto"/>
            <w:left w:val="none" w:sz="0" w:space="0" w:color="auto"/>
            <w:bottom w:val="none" w:sz="0" w:space="0" w:color="auto"/>
            <w:right w:val="none" w:sz="0" w:space="0" w:color="auto"/>
          </w:divBdr>
        </w:div>
        <w:div w:id="932126423">
          <w:marLeft w:val="720"/>
          <w:marRight w:val="0"/>
          <w:marTop w:val="0"/>
          <w:marBottom w:val="120"/>
          <w:divBdr>
            <w:top w:val="none" w:sz="0" w:space="0" w:color="auto"/>
            <w:left w:val="none" w:sz="0" w:space="0" w:color="auto"/>
            <w:bottom w:val="none" w:sz="0" w:space="0" w:color="auto"/>
            <w:right w:val="none" w:sz="0" w:space="0" w:color="auto"/>
          </w:divBdr>
        </w:div>
        <w:div w:id="1026637089">
          <w:marLeft w:val="720"/>
          <w:marRight w:val="0"/>
          <w:marTop w:val="0"/>
          <w:marBottom w:val="120"/>
          <w:divBdr>
            <w:top w:val="none" w:sz="0" w:space="0" w:color="auto"/>
            <w:left w:val="none" w:sz="0" w:space="0" w:color="auto"/>
            <w:bottom w:val="none" w:sz="0" w:space="0" w:color="auto"/>
            <w:right w:val="none" w:sz="0" w:space="0" w:color="auto"/>
          </w:divBdr>
        </w:div>
      </w:divsChild>
    </w:div>
    <w:div w:id="1370493345">
      <w:bodyDiv w:val="1"/>
      <w:marLeft w:val="0"/>
      <w:marRight w:val="0"/>
      <w:marTop w:val="0"/>
      <w:marBottom w:val="0"/>
      <w:divBdr>
        <w:top w:val="none" w:sz="0" w:space="0" w:color="auto"/>
        <w:left w:val="none" w:sz="0" w:space="0" w:color="auto"/>
        <w:bottom w:val="none" w:sz="0" w:space="0" w:color="auto"/>
        <w:right w:val="none" w:sz="0" w:space="0" w:color="auto"/>
      </w:divBdr>
    </w:div>
    <w:div w:id="1496531400">
      <w:bodyDiv w:val="1"/>
      <w:marLeft w:val="0"/>
      <w:marRight w:val="0"/>
      <w:marTop w:val="0"/>
      <w:marBottom w:val="0"/>
      <w:divBdr>
        <w:top w:val="none" w:sz="0" w:space="0" w:color="auto"/>
        <w:left w:val="none" w:sz="0" w:space="0" w:color="auto"/>
        <w:bottom w:val="none" w:sz="0" w:space="0" w:color="auto"/>
        <w:right w:val="none" w:sz="0" w:space="0" w:color="auto"/>
      </w:divBdr>
    </w:div>
    <w:div w:id="1659259523">
      <w:bodyDiv w:val="1"/>
      <w:marLeft w:val="0"/>
      <w:marRight w:val="0"/>
      <w:marTop w:val="0"/>
      <w:marBottom w:val="0"/>
      <w:divBdr>
        <w:top w:val="none" w:sz="0" w:space="0" w:color="auto"/>
        <w:left w:val="none" w:sz="0" w:space="0" w:color="auto"/>
        <w:bottom w:val="none" w:sz="0" w:space="0" w:color="auto"/>
        <w:right w:val="none" w:sz="0" w:space="0" w:color="auto"/>
      </w:divBdr>
    </w:div>
    <w:div w:id="1725062684">
      <w:bodyDiv w:val="1"/>
      <w:marLeft w:val="0"/>
      <w:marRight w:val="0"/>
      <w:marTop w:val="0"/>
      <w:marBottom w:val="0"/>
      <w:divBdr>
        <w:top w:val="none" w:sz="0" w:space="0" w:color="auto"/>
        <w:left w:val="none" w:sz="0" w:space="0" w:color="auto"/>
        <w:bottom w:val="none" w:sz="0" w:space="0" w:color="auto"/>
        <w:right w:val="none" w:sz="0" w:space="0" w:color="auto"/>
      </w:divBdr>
    </w:div>
    <w:div w:id="1792043961">
      <w:bodyDiv w:val="1"/>
      <w:marLeft w:val="0"/>
      <w:marRight w:val="0"/>
      <w:marTop w:val="0"/>
      <w:marBottom w:val="0"/>
      <w:divBdr>
        <w:top w:val="none" w:sz="0" w:space="0" w:color="auto"/>
        <w:left w:val="none" w:sz="0" w:space="0" w:color="auto"/>
        <w:bottom w:val="none" w:sz="0" w:space="0" w:color="auto"/>
        <w:right w:val="none" w:sz="0" w:space="0" w:color="auto"/>
      </w:divBdr>
    </w:div>
    <w:div w:id="1847865070">
      <w:bodyDiv w:val="1"/>
      <w:marLeft w:val="0"/>
      <w:marRight w:val="0"/>
      <w:marTop w:val="0"/>
      <w:marBottom w:val="0"/>
      <w:divBdr>
        <w:top w:val="none" w:sz="0" w:space="0" w:color="auto"/>
        <w:left w:val="none" w:sz="0" w:space="0" w:color="auto"/>
        <w:bottom w:val="none" w:sz="0" w:space="0" w:color="auto"/>
        <w:right w:val="none" w:sz="0" w:space="0" w:color="auto"/>
      </w:divBdr>
    </w:div>
    <w:div w:id="1870071046">
      <w:bodyDiv w:val="1"/>
      <w:marLeft w:val="0"/>
      <w:marRight w:val="0"/>
      <w:marTop w:val="0"/>
      <w:marBottom w:val="0"/>
      <w:divBdr>
        <w:top w:val="none" w:sz="0" w:space="0" w:color="auto"/>
        <w:left w:val="none" w:sz="0" w:space="0" w:color="auto"/>
        <w:bottom w:val="none" w:sz="0" w:space="0" w:color="auto"/>
        <w:right w:val="none" w:sz="0" w:space="0" w:color="auto"/>
      </w:divBdr>
    </w:div>
    <w:div w:id="1930264167">
      <w:bodyDiv w:val="1"/>
      <w:marLeft w:val="0"/>
      <w:marRight w:val="0"/>
      <w:marTop w:val="0"/>
      <w:marBottom w:val="0"/>
      <w:divBdr>
        <w:top w:val="none" w:sz="0" w:space="0" w:color="auto"/>
        <w:left w:val="none" w:sz="0" w:space="0" w:color="auto"/>
        <w:bottom w:val="none" w:sz="0" w:space="0" w:color="auto"/>
        <w:right w:val="none" w:sz="0" w:space="0" w:color="auto"/>
      </w:divBdr>
    </w:div>
    <w:div w:id="2008897989">
      <w:bodyDiv w:val="1"/>
      <w:marLeft w:val="0"/>
      <w:marRight w:val="0"/>
      <w:marTop w:val="0"/>
      <w:marBottom w:val="0"/>
      <w:divBdr>
        <w:top w:val="none" w:sz="0" w:space="0" w:color="auto"/>
        <w:left w:val="none" w:sz="0" w:space="0" w:color="auto"/>
        <w:bottom w:val="none" w:sz="0" w:space="0" w:color="auto"/>
        <w:right w:val="none" w:sz="0" w:space="0" w:color="auto"/>
      </w:divBdr>
    </w:div>
    <w:div w:id="2056536858">
      <w:bodyDiv w:val="1"/>
      <w:marLeft w:val="0"/>
      <w:marRight w:val="0"/>
      <w:marTop w:val="0"/>
      <w:marBottom w:val="0"/>
      <w:divBdr>
        <w:top w:val="none" w:sz="0" w:space="0" w:color="auto"/>
        <w:left w:val="none" w:sz="0" w:space="0" w:color="auto"/>
        <w:bottom w:val="none" w:sz="0" w:space="0" w:color="auto"/>
        <w:right w:val="none" w:sz="0" w:space="0" w:color="auto"/>
      </w:divBdr>
    </w:div>
    <w:div w:id="214056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v8.md/2025/01/03/ultima-ora-lumina-se-scumpeste-in-moldova-tarifele-premier-energy-si-fee-nord-consumatorii-care-vor-plati-pe-ore/272847" TargetMode="External"/><Relationship Id="rId21" Type="http://schemas.openxmlformats.org/officeDocument/2006/relationships/header" Target="header7.xml"/><Relationship Id="rId42" Type="http://schemas.openxmlformats.org/officeDocument/2006/relationships/hyperlink" Target="https://www.energie.gov.md/en/content/residential-sector-consumes-half-countrys-heating-energy-64-households-heating-wood-and-only" TargetMode="External"/><Relationship Id="rId63" Type="http://schemas.openxmlformats.org/officeDocument/2006/relationships/hyperlink" Target="https://statistica.gov.md/en/energy-balance-of-the-republic-of-moldova-editions-2007-2022-9668_59503.html" TargetMode="External"/><Relationship Id="rId84" Type="http://schemas.openxmlformats.org/officeDocument/2006/relationships/hyperlink" Target="https://www.ehpa.org/news-and-resources/news/heat-pumps-in-multi-family-buildings/" TargetMode="External"/><Relationship Id="rId138" Type="http://schemas.openxmlformats.org/officeDocument/2006/relationships/hyperlink" Target="https://www.gov.uk/government/publications/heat-training-grant-for-heat-pumps" TargetMode="External"/><Relationship Id="rId159" Type="http://schemas.openxmlformats.org/officeDocument/2006/relationships/hyperlink" Target="https://ec.europa.eu/eurostat/databrowser/view/NRG_PC_202/default/table?lang=en" TargetMode="External"/><Relationship Id="rId170" Type="http://schemas.openxmlformats.org/officeDocument/2006/relationships/hyperlink" Target="https://www.raponline.org/knowledge-center/a-policy-toolkit-for-global-mass-heat-pump-deployment-version-2-0/" TargetMode="External"/><Relationship Id="rId107" Type="http://schemas.openxmlformats.org/officeDocument/2006/relationships/image" Target="media/image14.emf"/><Relationship Id="rId11" Type="http://schemas.openxmlformats.org/officeDocument/2006/relationships/image" Target="media/image1.png"/><Relationship Id="rId32" Type="http://schemas.openxmlformats.org/officeDocument/2006/relationships/hyperlink" Target="https://www.iea.org/policies/2363-energy-strategy-of-moldova-2030" TargetMode="External"/><Relationship Id="rId53" Type="http://schemas.openxmlformats.org/officeDocument/2006/relationships/image" Target="media/image4.emf"/><Relationship Id="rId74" Type="http://schemas.openxmlformats.org/officeDocument/2006/relationships/hyperlink" Target="https://www.iea.org/data-and-statistics/data-product/energy-efficiency-indicators" TargetMode="External"/><Relationship Id="rId128" Type="http://schemas.openxmlformats.org/officeDocument/2006/relationships/hyperlink" Target="https://climate.ec.europa.eu/eu-action/eu-emissions-trading-system-eu-ets/ets2-buildings-road-transport-and-additional-sectors_en" TargetMode="External"/><Relationship Id="rId149" Type="http://schemas.openxmlformats.org/officeDocument/2006/relationships/hyperlink" Target="https://cned.gov.md/sites/default/files/document/attachments/finacing_product_for_hoas_en_final.pdf" TargetMode="External"/><Relationship Id="rId5" Type="http://schemas.openxmlformats.org/officeDocument/2006/relationships/numbering" Target="numbering.xml"/><Relationship Id="rId95" Type="http://schemas.openxmlformats.org/officeDocument/2006/relationships/image" Target="media/image13.emf"/><Relationship Id="rId160" Type="http://schemas.openxmlformats.org/officeDocument/2006/relationships/image" Target="media/image18.emf"/><Relationship Id="rId181" Type="http://schemas.openxmlformats.org/officeDocument/2006/relationships/hyperlink" Target="https://www.legis.md/cautare/getResults?doc_id=146697&amp;lang=ro" TargetMode="External"/><Relationship Id="rId22" Type="http://schemas.openxmlformats.org/officeDocument/2006/relationships/header" Target="header8.xml"/><Relationship Id="rId43" Type="http://schemas.openxmlformats.org/officeDocument/2006/relationships/hyperlink" Target="https://www.moldpres.md/eng/economy/government-approved-moldovan-buildings-will-have-to-hold-energy-performance-certificates-" TargetMode="External"/><Relationship Id="rId64" Type="http://schemas.openxmlformats.org/officeDocument/2006/relationships/hyperlink" Target="https://www.iea.org/reports/moldova-2022" TargetMode="External"/><Relationship Id="rId118" Type="http://schemas.openxmlformats.org/officeDocument/2006/relationships/hyperlink" Target="https://newsmaker.md/rus/novosti/v-kishineve-beltsah-i-komrate-povysili-tarify-na-otoplenie-na-skolko/)" TargetMode="External"/><Relationship Id="rId139" Type="http://schemas.openxmlformats.org/officeDocument/2006/relationships/hyperlink" Target="https://www.economie.gouv.fr/actualites/plan-action-pompes-chaleur-2027" TargetMode="External"/><Relationship Id="rId85" Type="http://schemas.openxmlformats.org/officeDocument/2006/relationships/hyperlink" Target="https://heatpumpingtechnologies.org/annex62/pl001-turek/" TargetMode="External"/><Relationship Id="rId150" Type="http://schemas.openxmlformats.org/officeDocument/2006/relationships/hyperlink" Target="https://www.raponline.org/knowledge-center/a-policy-toolkit-for-global-mass-heat-pump-deployment-version-2-0/" TargetMode="External"/><Relationship Id="rId171" Type="http://schemas.openxmlformats.org/officeDocument/2006/relationships/hyperlink" Target="https://www.iea.org/reports/moldova-2022" TargetMode="External"/><Relationship Id="rId12" Type="http://schemas.openxmlformats.org/officeDocument/2006/relationships/header" Target="header1.xml"/><Relationship Id="rId33" Type="http://schemas.openxmlformats.org/officeDocument/2006/relationships/hyperlink" Target="https://www.legis.md/cautare/getResults?doc_id=147685&amp;lang=ro" TargetMode="External"/><Relationship Id="rId108" Type="http://schemas.openxmlformats.org/officeDocument/2006/relationships/hyperlink" Target="https://comtradeplus.un.org/" TargetMode="External"/><Relationship Id="rId129" Type="http://schemas.openxmlformats.org/officeDocument/2006/relationships/hyperlink" Target="https://altal.md/" TargetMode="External"/><Relationship Id="rId54" Type="http://schemas.openxmlformats.org/officeDocument/2006/relationships/hyperlink" Target="https://statistica.gov.md/en/energy-balance-of-the-republic-of-moldova-editions-2007-2022-9668_59503.html" TargetMode="External"/><Relationship Id="rId75" Type="http://schemas.openxmlformats.org/officeDocument/2006/relationships/image" Target="media/image10.emf"/><Relationship Id="rId96" Type="http://schemas.openxmlformats.org/officeDocument/2006/relationships/hyperlink" Target="https://www.gov.uk/government/collections/the-green-book-and-accompanying-guidance-and-documents" TargetMode="External"/><Relationship Id="rId140" Type="http://schemas.openxmlformats.org/officeDocument/2006/relationships/hyperlink" Target="https://d.docs.live.net/fec28a7282d28e21/1_Projects/IEA_Moldova/Content/centre%20d'expertise" TargetMode="External"/><Relationship Id="rId161" Type="http://schemas.openxmlformats.org/officeDocument/2006/relationships/hyperlink" Target="https://ec.europa.eu/eurostat/databrowser/view/NRG_PC_204/default/table?lang=en" TargetMode="External"/><Relationship Id="rId182" Type="http://schemas.openxmlformats.org/officeDocument/2006/relationships/hyperlink" Target="https://piata-biomasa.md/" TargetMode="External"/><Relationship Id="rId6" Type="http://schemas.openxmlformats.org/officeDocument/2006/relationships/styles" Target="styles.xml"/><Relationship Id="rId23" Type="http://schemas.openxmlformats.org/officeDocument/2006/relationships/header" Target="header9.xml"/><Relationship Id="rId119" Type="http://schemas.openxmlformats.org/officeDocument/2006/relationships/hyperlink" Target="https://anre.md/raport-de-activitate-3-10" TargetMode="External"/><Relationship Id="rId44" Type="http://schemas.openxmlformats.org/officeDocument/2006/relationships/hyperlink" Target="https://www.energycommunity.org/implementation/report/" TargetMode="External"/><Relationship Id="rId65" Type="http://schemas.openxmlformats.org/officeDocument/2006/relationships/image" Target="media/image8.emf"/><Relationship Id="rId86" Type="http://schemas.openxmlformats.org/officeDocument/2006/relationships/hyperlink" Target="https://heatpumpingtechnologies.org/annex62/case-studies/" TargetMode="External"/><Relationship Id="rId130" Type="http://schemas.openxmlformats.org/officeDocument/2006/relationships/hyperlink" Target="https://dinal.md/" TargetMode="External"/><Relationship Id="rId151" Type="http://schemas.openxmlformats.org/officeDocument/2006/relationships/hyperlink" Target="https://ebrdgeff.com/moldova_facilities/" TargetMode="External"/><Relationship Id="rId172" Type="http://schemas.openxmlformats.org/officeDocument/2006/relationships/hyperlink" Target="https://energy.ec.europa.eu/system/files/2018-01/guidelinesspacewaterheaters_final_0.pdf" TargetMode="Externa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https://www4.unfccc.int/sites/PublicNAMA/_layouts/un/fccc/nama/NamaSeekingSupportForImplementation.aspx?ID=186&amp;viewOnly=1" TargetMode="External"/><Relationship Id="rId109" Type="http://schemas.openxmlformats.org/officeDocument/2006/relationships/hyperlink" Target="https://comtradeplus.un.org/" TargetMode="External"/><Relationship Id="rId34" Type="http://schemas.openxmlformats.org/officeDocument/2006/relationships/hyperlink" Target="https://www.energie.gov.md/en/content/integrated-national-energy-and-climate-plan-approved-government" TargetMode="External"/><Relationship Id="rId50" Type="http://schemas.openxmlformats.org/officeDocument/2006/relationships/hyperlink" Target="https://www.iea.org/reports/moldova-2022" TargetMode="External"/><Relationship Id="rId55" Type="http://schemas.openxmlformats.org/officeDocument/2006/relationships/image" Target="media/image5.emf"/><Relationship Id="rId76" Type="http://schemas.openxmlformats.org/officeDocument/2006/relationships/hyperlink" Target="https://statistica.gov.md/en/energy-consumption-in-households-editions-2016-2022-9668_3753.html" TargetMode="External"/><Relationship Id="rId97" Type="http://schemas.openxmlformats.org/officeDocument/2006/relationships/hyperlink" Target="https://pubs.acs.org/doi/10.1021/acs.est.1c04301" TargetMode="External"/><Relationship Id="rId104" Type="http://schemas.openxmlformats.org/officeDocument/2006/relationships/hyperlink" Target="https://www.undp.org/sites/g/files/zskgke326/files/2022-09/Report%20Energy%20Poverty%20EN.pdf" TargetMode="External"/><Relationship Id="rId120" Type="http://schemas.openxmlformats.org/officeDocument/2006/relationships/hyperlink" Target="https://www.raponline.org/knowledge-center/aligning-heating-energy-taxes-levies-europe-climate-goals/" TargetMode="External"/><Relationship Id="rId125" Type="http://schemas.openxmlformats.org/officeDocument/2006/relationships/hyperlink" Target="https://doi.org/10.1016/j.enpol.2022.113367" TargetMode="External"/><Relationship Id="rId141" Type="http://schemas.openxmlformats.org/officeDocument/2006/relationships/hyperlink" Target="https://www.feebat.org/formations/modules-de-formation-batiment-feebat/energies-renouvelables-thermiques/pompe-a-chaleur-en-habitat-individuel/" TargetMode="External"/><Relationship Id="rId146" Type="http://schemas.openxmlformats.org/officeDocument/2006/relationships/hyperlink" Target="https://cned.gov.md/en/feerm" TargetMode="External"/><Relationship Id="rId167" Type="http://schemas.openxmlformats.org/officeDocument/2006/relationships/hyperlink" Target="https://www.raponline.org/knowledge-center/a-policy-toolkit-for-global-mass-heat-pump-deployment-version-2-0/" TargetMode="External"/><Relationship Id="rId188"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hyperlink" Target="https://anre.md/raport-de-activitate-3-10" TargetMode="External"/><Relationship Id="rId92" Type="http://schemas.openxmlformats.org/officeDocument/2006/relationships/hyperlink" Target="https://www.man-es.com/company/press-releases/press-details/2024/12/16/europe-s-largest-fluvial-heat-pump--bound-for-cologne-district-heating" TargetMode="External"/><Relationship Id="rId162" Type="http://schemas.openxmlformats.org/officeDocument/2006/relationships/hyperlink" Target="https://ec.europa.eu/eurostat/databrowser/view/NRG_PC_202/default/table?lang=en" TargetMode="External"/><Relationship Id="rId183" Type="http://schemas.openxmlformats.org/officeDocument/2006/relationships/header" Target="header16.xml"/><Relationship Id="rId2" Type="http://schemas.openxmlformats.org/officeDocument/2006/relationships/customXml" Target="../customXml/item2.xml"/><Relationship Id="rId29" Type="http://schemas.openxmlformats.org/officeDocument/2006/relationships/hyperlink" Target="https://statistica.gov.md/" TargetMode="External"/><Relationship Id="rId24" Type="http://schemas.openxmlformats.org/officeDocument/2006/relationships/hyperlink" Target="https://data.worldbank.org/indicator/SP.POP.TOTL?locations=MD" TargetMode="External"/><Relationship Id="rId40" Type="http://schemas.openxmlformats.org/officeDocument/2006/relationships/hyperlink" Target="https://www.legis.md/cautare/getResults?doc_id=144985&amp;lang=ro" TargetMode="External"/><Relationship Id="rId45" Type="http://schemas.openxmlformats.org/officeDocument/2006/relationships/hyperlink" Target="https://cis-legislation.com/document.fwx?rgn=139163" TargetMode="External"/><Relationship Id="rId66" Type="http://schemas.openxmlformats.org/officeDocument/2006/relationships/hyperlink" Target="https://statistica.gov.md/en/energy-consumption-in-households-editions-2016-2022-9668_3753.html" TargetMode="External"/><Relationship Id="rId87" Type="http://schemas.openxmlformats.org/officeDocument/2006/relationships/hyperlink" Target="https://www.raponline.org/knowledge-center/some-like-it-hot-moving-industrial-electrification-from-potential-to-practice/" TargetMode="External"/><Relationship Id="rId110" Type="http://schemas.openxmlformats.org/officeDocument/2006/relationships/header" Target="header11.xml"/><Relationship Id="rId115" Type="http://schemas.openxmlformats.org/officeDocument/2006/relationships/hyperlink" Target="https://www.iea.org/data-and-statistics/data-product/energy-prices" TargetMode="External"/><Relationship Id="rId131" Type="http://schemas.openxmlformats.org/officeDocument/2006/relationships/hyperlink" Target="https://www.daikin.eu/en_us/press-releases/daikin-europe-kicks-off-construction-of-first-polish-heatpump.html" TargetMode="External"/><Relationship Id="rId136" Type="http://schemas.openxmlformats.org/officeDocument/2006/relationships/hyperlink" Target="https://www.canada.ca/en/environment-climate-change/news/2024/08/government-of-canada-invests-in-heat-pump-training-for-skilled-workers-in-a-cleaner-economy-across-the-country.html" TargetMode="External"/><Relationship Id="rId157" Type="http://schemas.openxmlformats.org/officeDocument/2006/relationships/image" Target="media/image17.emf"/><Relationship Id="rId178" Type="http://schemas.openxmlformats.org/officeDocument/2006/relationships/hyperlink" Target="https://www.irena.org/Publications/2022/Nov/Renewable-solutions-in-end-uses-Heat-pump-costs-and-markets" TargetMode="External"/><Relationship Id="rId61" Type="http://schemas.openxmlformats.org/officeDocument/2006/relationships/hyperlink" Target="https://www.iea.org/data-and-statistics/data-product/energy-efficiency-indicators" TargetMode="External"/><Relationship Id="rId82" Type="http://schemas.openxmlformats.org/officeDocument/2006/relationships/hyperlink" Target="https://www.iea.org/reports/the-future-of-heat-pumps" TargetMode="External"/><Relationship Id="rId152" Type="http://schemas.openxmlformats.org/officeDocument/2006/relationships/hyperlink" Target="https://www.eeas.europa.eu/delegations/moldova/european-union-stepping-support-energy-efficiency-residential-sector-republic-moldova_en?s=223" TargetMode="External"/><Relationship Id="rId173" Type="http://schemas.openxmlformats.org/officeDocument/2006/relationships/hyperlink" Target="https://www.buildinggreen.com/newsbrief/energy-star-removes-gas-appliances-most-efficient-list" TargetMode="External"/><Relationship Id="rId19" Type="http://schemas.openxmlformats.org/officeDocument/2006/relationships/header" Target="header5.xml"/><Relationship Id="rId14" Type="http://schemas.openxmlformats.org/officeDocument/2006/relationships/footer" Target="footer1.xml"/><Relationship Id="rId30" Type="http://schemas.openxmlformats.org/officeDocument/2006/relationships/hyperlink" Target="https://ancd.gov.md/" TargetMode="External"/><Relationship Id="rId35" Type="http://schemas.openxmlformats.org/officeDocument/2006/relationships/image" Target="media/image3.emf"/><Relationship Id="rId56" Type="http://schemas.openxmlformats.org/officeDocument/2006/relationships/hyperlink" Target="https://www.iea.org/data-and-statistics/data-product/greenhouse-gas-emissions-from-energy" TargetMode="External"/><Relationship Id="rId77" Type="http://schemas.openxmlformats.org/officeDocument/2006/relationships/image" Target="media/image11.emf"/><Relationship Id="rId100" Type="http://schemas.openxmlformats.org/officeDocument/2006/relationships/hyperlink" Target="https://doi.org/10.1016/j.joule.2023.08.005" TargetMode="External"/><Relationship Id="rId105" Type="http://schemas.openxmlformats.org/officeDocument/2006/relationships/hyperlink" Target="https://www.undp.org/sites/g/files/zskgke326/files/2022-09/Report%20Energy%20Poverty%20EN.pdf" TargetMode="External"/><Relationship Id="rId126" Type="http://schemas.openxmlformats.org/officeDocument/2006/relationships/hyperlink" Target="https://cis-legislation.com/document.fwx?rgn=156160" TargetMode="External"/><Relationship Id="rId147" Type="http://schemas.openxmlformats.org/officeDocument/2006/relationships/hyperlink" Target="https://ceenergynews.com/renewables/moldova-to-launch-residential-energy-efficiency-fund/" TargetMode="External"/><Relationship Id="rId168" Type="http://schemas.openxmlformats.org/officeDocument/2006/relationships/hyperlink" Target="https://www.raponline.org/knowledge-center/a-policy-toolkit-for-global-mass-heat-pump-deployment-version-2-0/" TargetMode="External"/><Relationship Id="rId8" Type="http://schemas.openxmlformats.org/officeDocument/2006/relationships/webSettings" Target="webSettings.xml"/><Relationship Id="rId51" Type="http://schemas.openxmlformats.org/officeDocument/2006/relationships/hyperlink" Target="https://www.iea.org/reports/moldova-2022" TargetMode="External"/><Relationship Id="rId72" Type="http://schemas.openxmlformats.org/officeDocument/2006/relationships/hyperlink" Target="https://www.legis.md/cautare/getResults?doc_id=147685&amp;lang=ro" TargetMode="External"/><Relationship Id="rId93" Type="http://schemas.openxmlformats.org/officeDocument/2006/relationships/hyperlink" Target="https://ieeexplore.ieee.org/document/10290794" TargetMode="External"/><Relationship Id="rId98" Type="http://schemas.openxmlformats.org/officeDocument/2006/relationships/hyperlink" Target="https://www.iea.org/reports/the-future-of-heat-pumps" TargetMode="External"/><Relationship Id="rId121" Type="http://schemas.openxmlformats.org/officeDocument/2006/relationships/image" Target="media/image16.emf"/><Relationship Id="rId142" Type="http://schemas.openxmlformats.org/officeDocument/2006/relationships/header" Target="header12.xml"/><Relationship Id="rId163" Type="http://schemas.openxmlformats.org/officeDocument/2006/relationships/hyperlink" Target="https://www.legis.md/cautare/getResults?doc_id=147685&amp;lang=ro" TargetMode="External"/><Relationship Id="rId184" Type="http://schemas.openxmlformats.org/officeDocument/2006/relationships/image" Target="media/image19.emf"/><Relationship Id="rId189"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energie.gov.md/en" TargetMode="External"/><Relationship Id="rId46" Type="http://schemas.openxmlformats.org/officeDocument/2006/relationships/hyperlink" Target="https://www.legis.md/cautare/getResults?doc_id=139930&amp;lang=ro" TargetMode="External"/><Relationship Id="rId67" Type="http://schemas.openxmlformats.org/officeDocument/2006/relationships/hyperlink" Target="https://www.iea.org/reports/moldova-2022" TargetMode="External"/><Relationship Id="rId116" Type="http://schemas.openxmlformats.org/officeDocument/2006/relationships/hyperlink" Target="https://www.energycommunity.org/implementation/report/" TargetMode="External"/><Relationship Id="rId137" Type="http://schemas.openxmlformats.org/officeDocument/2006/relationships/hyperlink" Target="https://www.sseenergysolutions.co.uk/news-and-insights/case-studies/wandsworth-riverside-heat-network" TargetMode="External"/><Relationship Id="rId158" Type="http://schemas.openxmlformats.org/officeDocument/2006/relationships/hyperlink" Target="https://ec.europa.eu/eurostat/databrowser/view/NRG_PC_204/default/table?lang=en" TargetMode="External"/><Relationship Id="rId20" Type="http://schemas.openxmlformats.org/officeDocument/2006/relationships/header" Target="header6.xml"/><Relationship Id="rId41" Type="http://schemas.openxmlformats.org/officeDocument/2006/relationships/hyperlink" Target="https://www.seai.ie/data-and-insights/national-heat-study/key-insights" TargetMode="External"/><Relationship Id="rId62" Type="http://schemas.openxmlformats.org/officeDocument/2006/relationships/image" Target="media/image7.emf"/><Relationship Id="rId83" Type="http://schemas.openxmlformats.org/officeDocument/2006/relationships/hyperlink" Target="https://www.ehpa.org/news-and-resources/press-releases/heat-pump-sales-drop-23-in-2024-leading-to-thousands-of-european-job-losses/" TargetMode="External"/><Relationship Id="rId88" Type="http://schemas.openxmlformats.org/officeDocument/2006/relationships/hyperlink" Target="https://www.ehpa.org/news-and-resources/publications/subsidies-for-industrial-heat-pumps-in-europe" TargetMode="External"/><Relationship Id="rId111" Type="http://schemas.openxmlformats.org/officeDocument/2006/relationships/hyperlink" Target="https://www.raponline.org/knowledge-center/a-policy-toolkit-for-global-mass-heat-pump-deployment-version-2-0" TargetMode="External"/><Relationship Id="rId132" Type="http://schemas.openxmlformats.org/officeDocument/2006/relationships/hyperlink" Target="https://www.viessmann-climatesolutions.com/en/newsroom/company/viessmann-invests-in-new-technology-site-in-legnica.html" TargetMode="External"/><Relationship Id="rId153" Type="http://schemas.openxmlformats.org/officeDocument/2006/relationships/hyperlink" Target="https://energie.gov.md/en/content/energy-ministry-proposes-abolish-income-tax-net-invoiced-income-reduce-vat-50-heat-pumps-and" TargetMode="External"/><Relationship Id="rId174" Type="http://schemas.openxmlformats.org/officeDocument/2006/relationships/hyperlink" Target="https://energy-cities.eu/energy-cities-says-it-is-time-to-turn-up-the-heat-on-member-states-for-failing-on-local-heating-and-cooling-planning/" TargetMode="External"/><Relationship Id="rId179" Type="http://schemas.openxmlformats.org/officeDocument/2006/relationships/hyperlink" Target="https://eur-lex.europa.eu/eli/reco/2019/1658" TargetMode="External"/><Relationship Id="rId190" Type="http://schemas.openxmlformats.org/officeDocument/2006/relationships/theme" Target="theme/theme1.xml"/><Relationship Id="rId15" Type="http://schemas.openxmlformats.org/officeDocument/2006/relationships/footer" Target="footer2.xml"/><Relationship Id="rId36" Type="http://schemas.openxmlformats.org/officeDocument/2006/relationships/hyperlink" Target="https://ec.europa.eu/eurostat/statistics-explained/index.php?title=Renewable_energy_statistics" TargetMode="External"/><Relationship Id="rId57" Type="http://schemas.openxmlformats.org/officeDocument/2006/relationships/hyperlink" Target="https://www.iea.org/data-and-statistics/data-product/energy-efficiency-indicators" TargetMode="External"/><Relationship Id="rId106" Type="http://schemas.openxmlformats.org/officeDocument/2006/relationships/hyperlink" Target="https://www.energy-community.org/news/Energy-Community-News/2025/03/04.html" TargetMode="External"/><Relationship Id="rId127" Type="http://schemas.openxmlformats.org/officeDocument/2006/relationships/hyperlink" Target="https://energy.ec.europa.eu/topics/energy-efficiency/energy-efficiency-targets-directive-and-rules/energy-efficiency-directive_en" TargetMode="External"/><Relationship Id="rId10" Type="http://schemas.openxmlformats.org/officeDocument/2006/relationships/endnotes" Target="endnotes.xml"/><Relationship Id="rId31" Type="http://schemas.openxmlformats.org/officeDocument/2006/relationships/hyperlink" Target="https://climate-laws.org/document/moldova-s-law-no-74-on-climate-action_bfd5" TargetMode="External"/><Relationship Id="rId52" Type="http://schemas.openxmlformats.org/officeDocument/2006/relationships/hyperlink" Target="https://www.entsoe.eu/news/2022/06/28/commercial-exchanges-of-electricity-with-ukraine-moldova-to-start-on-30-june/" TargetMode="External"/><Relationship Id="rId73" Type="http://schemas.openxmlformats.org/officeDocument/2006/relationships/image" Target="media/image9.emf"/><Relationship Id="rId78" Type="http://schemas.openxmlformats.org/officeDocument/2006/relationships/hyperlink" Target="https://statistica.gov.md/en/energy-consumption-in-households-editions-2016-2022-9668_3753.html" TargetMode="External"/><Relationship Id="rId94" Type="http://schemas.openxmlformats.org/officeDocument/2006/relationships/hyperlink" Target="https://unfccc.int/documents/646420" TargetMode="External"/><Relationship Id="rId99" Type="http://schemas.openxmlformats.org/officeDocument/2006/relationships/hyperlink" Target="https://www.iea.org/reports/the-future-of-heat-pumps" TargetMode="External"/><Relationship Id="rId101" Type="http://schemas.openxmlformats.org/officeDocument/2006/relationships/hyperlink" Target="https://www.iea.org/reports/the-future-of-heat-pumps" TargetMode="External"/><Relationship Id="rId122" Type="http://schemas.openxmlformats.org/officeDocument/2006/relationships/hyperlink" Target="https://ec.europa.eu/eurostat/databrowser/view/NRG_PC_204/default/table?lang=en" TargetMode="External"/><Relationship Id="rId143" Type="http://schemas.openxmlformats.org/officeDocument/2006/relationships/hyperlink" Target="https://www.gov.uk/apply-boiler-upgrade-scheme" TargetMode="External"/><Relationship Id="rId148" Type="http://schemas.openxmlformats.org/officeDocument/2006/relationships/hyperlink" Target="https://energy.ec.europa.eu/topics/energy-efficiency/energy-efficient-buildings/energy-performance-buildings-directive_en" TargetMode="External"/><Relationship Id="rId164" Type="http://schemas.openxmlformats.org/officeDocument/2006/relationships/hyperlink" Target="https://www.legis.md/cautare/getResults?doc_id=147685&amp;lang=ro" TargetMode="External"/><Relationship Id="rId169" Type="http://schemas.openxmlformats.org/officeDocument/2006/relationships/hyperlink" Target="https://www.raponline.org/knowledge-center/a-policy-toolkit-for-global-mass-heat-pump-deployment-version-2-0/" TargetMode="External"/><Relationship Id="rId185" Type="http://schemas.openxmlformats.org/officeDocument/2006/relationships/hyperlink" Target="https://www.iea.org/terms/creative-commons-cc-license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legis.md/cautare/getResults?doc_id=146697&amp;lang=ro" TargetMode="External"/><Relationship Id="rId26" Type="http://schemas.openxmlformats.org/officeDocument/2006/relationships/hyperlink" Target="https://cned.gov.md/en/content/about-ncse" TargetMode="External"/><Relationship Id="rId47" Type="http://schemas.openxmlformats.org/officeDocument/2006/relationships/hyperlink" Target="https://www.bbc.com/news/articles/c1wnr5qdxe7o" TargetMode="External"/><Relationship Id="rId68" Type="http://schemas.openxmlformats.org/officeDocument/2006/relationships/hyperlink" Target="https://anre.md/raport-de-activitate-3-10" TargetMode="External"/><Relationship Id="rId89" Type="http://schemas.openxmlformats.org/officeDocument/2006/relationships/hyperlink" Target="https://www.dalkia.fr/sites/default/files/2024-04/CP_Dalkia_Transpac_PAC-THT_VDef.pdf" TargetMode="External"/><Relationship Id="rId112" Type="http://schemas.openxmlformats.org/officeDocument/2006/relationships/hyperlink" Target="https://doi.org/10.1016/j.enpol.2020.111330" TargetMode="External"/><Relationship Id="rId133" Type="http://schemas.openxmlformats.org/officeDocument/2006/relationships/hyperlink" Target="https://www.ehpa.org/quality/eucert/" TargetMode="External"/><Relationship Id="rId154" Type="http://schemas.openxmlformats.org/officeDocument/2006/relationships/hyperlink" Target="https://www.ehpa.org/news-and-resources/news/heat-pumps-versus-boilers-taxes-and-running-costs/" TargetMode="External"/><Relationship Id="rId175" Type="http://schemas.openxmlformats.org/officeDocument/2006/relationships/header" Target="header14.xml"/><Relationship Id="rId16" Type="http://schemas.openxmlformats.org/officeDocument/2006/relationships/header" Target="header3.xml"/><Relationship Id="rId37" Type="http://schemas.openxmlformats.org/officeDocument/2006/relationships/hyperlink" Target="https://www.legis.md/cautare/getResults?doc_id=147685&amp;lang=ro" TargetMode="External"/><Relationship Id="rId58" Type="http://schemas.openxmlformats.org/officeDocument/2006/relationships/hyperlink" Target="https://www.iea.org/data-and-statistics/data-product/energy-efficiency-indicators" TargetMode="External"/><Relationship Id="rId79" Type="http://schemas.openxmlformats.org/officeDocument/2006/relationships/header" Target="header10.xml"/><Relationship Id="rId102" Type="http://schemas.openxmlformats.org/officeDocument/2006/relationships/hyperlink" Target="https://www.iea.org/reports/the-future-of-heat-pumps" TargetMode="External"/><Relationship Id="rId123" Type="http://schemas.openxmlformats.org/officeDocument/2006/relationships/hyperlink" Target="https://ec.europa.eu/eurostat/databrowser/view/NRG_PC_202/default/table?lang=en" TargetMode="External"/><Relationship Id="rId144" Type="http://schemas.openxmlformats.org/officeDocument/2006/relationships/hyperlink" Target="https://www.kfw.de/inlandsfoerderung/Heizungsf%C3%B6rderung/" TargetMode="External"/><Relationship Id="rId90" Type="http://schemas.openxmlformats.org/officeDocument/2006/relationships/hyperlink" Target="https://www.pv-magazine.com/2024/10/18/basf-receives-funding-for-worlds-largest-industrial-heat-pump/" TargetMode="External"/><Relationship Id="rId165" Type="http://schemas.openxmlformats.org/officeDocument/2006/relationships/header" Target="header13.xml"/><Relationship Id="rId186" Type="http://schemas.openxmlformats.org/officeDocument/2006/relationships/hyperlink" Target="https://creativecommons.org/licenses/by/4.0/deed.en" TargetMode="External"/><Relationship Id="rId27" Type="http://schemas.openxmlformats.org/officeDocument/2006/relationships/hyperlink" Target="https://www.mediu.gov.md/en" TargetMode="External"/><Relationship Id="rId48" Type="http://schemas.openxmlformats.org/officeDocument/2006/relationships/hyperlink" Target="https://www.energy-community.org/implementation/report.html" TargetMode="External"/><Relationship Id="rId69" Type="http://schemas.openxmlformats.org/officeDocument/2006/relationships/hyperlink" Target="https://www.iea.org/reports/moldova-2022" TargetMode="External"/><Relationship Id="rId113" Type="http://schemas.openxmlformats.org/officeDocument/2006/relationships/hyperlink" Target="https://www.iea.org/data-and-statistics/data-product/energy-prices" TargetMode="External"/><Relationship Id="rId134" Type="http://schemas.openxmlformats.org/officeDocument/2006/relationships/hyperlink" Target="https://www.afpac.org/pompe-a-chaleur/installateur-certifie/" TargetMode="External"/><Relationship Id="rId80" Type="http://schemas.openxmlformats.org/officeDocument/2006/relationships/hyperlink" Target="https://www.iea.org/reports/the-future-of-heat-pumps" TargetMode="External"/><Relationship Id="rId155" Type="http://schemas.openxmlformats.org/officeDocument/2006/relationships/hyperlink" Target="https://www.legis.md/cautare/getResults?doc_id=146697&amp;lang=ro" TargetMode="External"/><Relationship Id="rId176" Type="http://schemas.openxmlformats.org/officeDocument/2006/relationships/header" Target="header15.xml"/><Relationship Id="rId17" Type="http://schemas.openxmlformats.org/officeDocument/2006/relationships/footer" Target="footer3.xml"/><Relationship Id="rId38" Type="http://schemas.openxmlformats.org/officeDocument/2006/relationships/hyperlink" Target="https://tech-action.unepccc.org/wp-content/uploads/sites/2/2024/12/energy-tna-moldova.pdf" TargetMode="External"/><Relationship Id="rId59" Type="http://schemas.openxmlformats.org/officeDocument/2006/relationships/hyperlink" Target="https://www.iea.org/data-and-statistics/data-product/energy-efficiency-indicators" TargetMode="External"/><Relationship Id="rId103" Type="http://schemas.openxmlformats.org/officeDocument/2006/relationships/hyperlink" Target="https://www.legis.md/cautare/getResults?doc_id=105498&amp;lang=ro" TargetMode="External"/><Relationship Id="rId124" Type="http://schemas.openxmlformats.org/officeDocument/2006/relationships/hyperlink" Target="https://doi.org/10.1016/j.enpol.2022.113367" TargetMode="External"/><Relationship Id="rId70" Type="http://schemas.openxmlformats.org/officeDocument/2006/relationships/hyperlink" Target="https://www.iea.org/reports/moldova-2022" TargetMode="External"/><Relationship Id="rId91" Type="http://schemas.openxmlformats.org/officeDocument/2006/relationships/hyperlink" Target="https://www.sciencedirect.com/science/article/pii/S1364032117307839" TargetMode="External"/><Relationship Id="rId145" Type="http://schemas.openxmlformats.org/officeDocument/2006/relationships/hyperlink" Target="https://www.service-public.fr/particuliers/vosdroits/F34421" TargetMode="External"/><Relationship Id="rId166" Type="http://schemas.openxmlformats.org/officeDocument/2006/relationships/hyperlink" Target="https://eur-lex.europa.eu/eli/dir/2024/1275/oj/eng" TargetMode="External"/><Relationship Id="rId187" Type="http://schemas.openxmlformats.org/officeDocument/2006/relationships/header" Target="header17.xml"/><Relationship Id="rId1" Type="http://schemas.openxmlformats.org/officeDocument/2006/relationships/customXml" Target="../customXml/item1.xml"/><Relationship Id="rId28" Type="http://schemas.openxmlformats.org/officeDocument/2006/relationships/hyperlink" Target="https://www.anre.md/" TargetMode="External"/><Relationship Id="rId49" Type="http://schemas.openxmlformats.org/officeDocument/2006/relationships/hyperlink" Target="https://newsmaker.md/rus/novosti/moldova-poluchit-ot-es-e310-mln-dlya-podderzhki-energeticheskoy-nezavisimosti-iz-nih-e60-mln-prednaznacheny-pridnestrovyu/" TargetMode="External"/><Relationship Id="rId114" Type="http://schemas.openxmlformats.org/officeDocument/2006/relationships/image" Target="media/image15.emf"/><Relationship Id="rId60" Type="http://schemas.openxmlformats.org/officeDocument/2006/relationships/image" Target="media/image6.emf"/><Relationship Id="rId81" Type="http://schemas.openxmlformats.org/officeDocument/2006/relationships/image" Target="media/image12.png"/><Relationship Id="rId135" Type="http://schemas.openxmlformats.org/officeDocument/2006/relationships/hyperlink" Target="https://natex.org/" TargetMode="External"/><Relationship Id="rId156" Type="http://schemas.openxmlformats.org/officeDocument/2006/relationships/hyperlink" Target="https://www.legis.md/cautare/getResults?doc_id=146697&amp;lang=ro" TargetMode="External"/><Relationship Id="rId177" Type="http://schemas.openxmlformats.org/officeDocument/2006/relationships/hyperlink" Target="https://ec.europa.eu/eurostat/databrowser/view/nrg_d_hhq/default/table?lang=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0\Templates\IEA%20REPORTS\2_Main%20IEA%20Report%20template_Updat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5342B675118142B9CE721AC3038D05" ma:contentTypeVersion="18" ma:contentTypeDescription="Create a new document." ma:contentTypeScope="" ma:versionID="4c719807249e0da2c85051d63a1c5681">
  <xsd:schema xmlns:xsd="http://www.w3.org/2001/XMLSchema" xmlns:xs="http://www.w3.org/2001/XMLSchema" xmlns:p="http://schemas.microsoft.com/office/2006/metadata/properties" xmlns:ns3="575a808e-108f-4c45-bcaa-38d5fcc74977" xmlns:ns4="21e7db13-9aa7-4dbf-aa9d-978c5db4e389" targetNamespace="http://schemas.microsoft.com/office/2006/metadata/properties" ma:root="true" ma:fieldsID="b27d0e11f8ff39d2c27fc69e28e7cfe0" ns3:_="" ns4:_="">
    <xsd:import namespace="575a808e-108f-4c45-bcaa-38d5fcc74977"/>
    <xsd:import namespace="21e7db13-9aa7-4dbf-aa9d-978c5db4e3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SystemTags" minOccurs="0"/>
                <xsd:element ref="ns4:MediaServiceLocation"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a808e-108f-4c45-bcaa-38d5fcc7497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e7db13-9aa7-4dbf-aa9d-978c5db4e3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21e7db13-9aa7-4dbf-aa9d-978c5db4e389" xsi:nil="true"/>
  </documentManagement>
</p:properties>
</file>

<file path=customXml/itemProps1.xml><?xml version="1.0" encoding="utf-8"?>
<ds:datastoreItem xmlns:ds="http://schemas.openxmlformats.org/officeDocument/2006/customXml" ds:itemID="{BCD3A346-6B40-4742-9B83-A0BAEE7C1310}">
  <ds:schemaRefs>
    <ds:schemaRef ds:uri="http://schemas.microsoft.com/sharepoint/v3/contenttype/forms"/>
  </ds:schemaRefs>
</ds:datastoreItem>
</file>

<file path=customXml/itemProps2.xml><?xml version="1.0" encoding="utf-8"?>
<ds:datastoreItem xmlns:ds="http://schemas.openxmlformats.org/officeDocument/2006/customXml" ds:itemID="{21917B47-3FE4-460B-9EB3-FA35582C7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a808e-108f-4c45-bcaa-38d5fcc74977"/>
    <ds:schemaRef ds:uri="21e7db13-9aa7-4dbf-aa9d-978c5db4e3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D59329-244D-4A9D-A99B-2E958951BFAB}">
  <ds:schemaRefs>
    <ds:schemaRef ds:uri="http://schemas.openxmlformats.org/officeDocument/2006/bibliography"/>
  </ds:schemaRefs>
</ds:datastoreItem>
</file>

<file path=customXml/itemProps4.xml><?xml version="1.0" encoding="utf-8"?>
<ds:datastoreItem xmlns:ds="http://schemas.openxmlformats.org/officeDocument/2006/customXml" ds:itemID="{120392E2-66E4-4D18-9751-EC5116B72A50}">
  <ds:schemaRefs>
    <ds:schemaRef ds:uri="http://schemas.microsoft.com/office/2006/metadata/properties"/>
    <ds:schemaRef ds:uri="http://schemas.microsoft.com/office/infopath/2007/PartnerControls"/>
    <ds:schemaRef ds:uri="21e7db13-9aa7-4dbf-aa9d-978c5db4e389"/>
  </ds:schemaRefs>
</ds:datastoreItem>
</file>

<file path=docProps/app.xml><?xml version="1.0" encoding="utf-8"?>
<Properties xmlns="http://schemas.openxmlformats.org/officeDocument/2006/extended-properties" xmlns:vt="http://schemas.openxmlformats.org/officeDocument/2006/docPropsVTypes">
  <Template>2_Main IEA Report template_Updated.dotx</Template>
  <TotalTime>188</TotalTime>
  <Pages>62</Pages>
  <Words>20659</Words>
  <Characters>117760</Characters>
  <Application>Microsoft Office Word</Application>
  <DocSecurity>0</DocSecurity>
  <Lines>981</Lines>
  <Paragraphs>276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International Energy Agency</Company>
  <LinksUpToDate>false</LinksUpToDate>
  <CharactersWithSpaces>138143</CharactersWithSpaces>
  <SharedDoc>false</SharedDoc>
  <HLinks>
    <vt:vector size="174" baseType="variant">
      <vt:variant>
        <vt:i4>2031667</vt:i4>
      </vt:variant>
      <vt:variant>
        <vt:i4>191</vt:i4>
      </vt:variant>
      <vt:variant>
        <vt:i4>0</vt:i4>
      </vt:variant>
      <vt:variant>
        <vt:i4>5</vt:i4>
      </vt:variant>
      <vt:variant>
        <vt:lpwstr/>
      </vt:variant>
      <vt:variant>
        <vt:lpwstr>_Toc27496137</vt:lpwstr>
      </vt:variant>
      <vt:variant>
        <vt:i4>1769528</vt:i4>
      </vt:variant>
      <vt:variant>
        <vt:i4>182</vt:i4>
      </vt:variant>
      <vt:variant>
        <vt:i4>0</vt:i4>
      </vt:variant>
      <vt:variant>
        <vt:i4>5</vt:i4>
      </vt:variant>
      <vt:variant>
        <vt:lpwstr/>
      </vt:variant>
      <vt:variant>
        <vt:lpwstr>_Toc27496082</vt:lpwstr>
      </vt:variant>
      <vt:variant>
        <vt:i4>1572920</vt:i4>
      </vt:variant>
      <vt:variant>
        <vt:i4>176</vt:i4>
      </vt:variant>
      <vt:variant>
        <vt:i4>0</vt:i4>
      </vt:variant>
      <vt:variant>
        <vt:i4>5</vt:i4>
      </vt:variant>
      <vt:variant>
        <vt:lpwstr/>
      </vt:variant>
      <vt:variant>
        <vt:lpwstr>_Toc27496081</vt:lpwstr>
      </vt:variant>
      <vt:variant>
        <vt:i4>1638455</vt:i4>
      </vt:variant>
      <vt:variant>
        <vt:i4>167</vt:i4>
      </vt:variant>
      <vt:variant>
        <vt:i4>0</vt:i4>
      </vt:variant>
      <vt:variant>
        <vt:i4>5</vt:i4>
      </vt:variant>
      <vt:variant>
        <vt:lpwstr/>
      </vt:variant>
      <vt:variant>
        <vt:lpwstr>_Toc27496070</vt:lpwstr>
      </vt:variant>
      <vt:variant>
        <vt:i4>1048630</vt:i4>
      </vt:variant>
      <vt:variant>
        <vt:i4>161</vt:i4>
      </vt:variant>
      <vt:variant>
        <vt:i4>0</vt:i4>
      </vt:variant>
      <vt:variant>
        <vt:i4>5</vt:i4>
      </vt:variant>
      <vt:variant>
        <vt:lpwstr/>
      </vt:variant>
      <vt:variant>
        <vt:lpwstr>_Toc27496069</vt:lpwstr>
      </vt:variant>
      <vt:variant>
        <vt:i4>1900598</vt:i4>
      </vt:variant>
      <vt:variant>
        <vt:i4>152</vt:i4>
      </vt:variant>
      <vt:variant>
        <vt:i4>0</vt:i4>
      </vt:variant>
      <vt:variant>
        <vt:i4>5</vt:i4>
      </vt:variant>
      <vt:variant>
        <vt:lpwstr/>
      </vt:variant>
      <vt:variant>
        <vt:lpwstr>_Toc27496064</vt:lpwstr>
      </vt:variant>
      <vt:variant>
        <vt:i4>1703990</vt:i4>
      </vt:variant>
      <vt:variant>
        <vt:i4>146</vt:i4>
      </vt:variant>
      <vt:variant>
        <vt:i4>0</vt:i4>
      </vt:variant>
      <vt:variant>
        <vt:i4>5</vt:i4>
      </vt:variant>
      <vt:variant>
        <vt:lpwstr/>
      </vt:variant>
      <vt:variant>
        <vt:lpwstr>_Toc27496063</vt:lpwstr>
      </vt:variant>
      <vt:variant>
        <vt:i4>1441842</vt:i4>
      </vt:variant>
      <vt:variant>
        <vt:i4>137</vt:i4>
      </vt:variant>
      <vt:variant>
        <vt:i4>0</vt:i4>
      </vt:variant>
      <vt:variant>
        <vt:i4>5</vt:i4>
      </vt:variant>
      <vt:variant>
        <vt:lpwstr/>
      </vt:variant>
      <vt:variant>
        <vt:lpwstr>_Toc27496728</vt:lpwstr>
      </vt:variant>
      <vt:variant>
        <vt:i4>1638450</vt:i4>
      </vt:variant>
      <vt:variant>
        <vt:i4>131</vt:i4>
      </vt:variant>
      <vt:variant>
        <vt:i4>0</vt:i4>
      </vt:variant>
      <vt:variant>
        <vt:i4>5</vt:i4>
      </vt:variant>
      <vt:variant>
        <vt:lpwstr/>
      </vt:variant>
      <vt:variant>
        <vt:lpwstr>_Toc27496727</vt:lpwstr>
      </vt:variant>
      <vt:variant>
        <vt:i4>1900601</vt:i4>
      </vt:variant>
      <vt:variant>
        <vt:i4>122</vt:i4>
      </vt:variant>
      <vt:variant>
        <vt:i4>0</vt:i4>
      </vt:variant>
      <vt:variant>
        <vt:i4>5</vt:i4>
      </vt:variant>
      <vt:variant>
        <vt:lpwstr/>
      </vt:variant>
      <vt:variant>
        <vt:lpwstr>_Toc27496793</vt:lpwstr>
      </vt:variant>
      <vt:variant>
        <vt:i4>1179705</vt:i4>
      </vt:variant>
      <vt:variant>
        <vt:i4>113</vt:i4>
      </vt:variant>
      <vt:variant>
        <vt:i4>0</vt:i4>
      </vt:variant>
      <vt:variant>
        <vt:i4>5</vt:i4>
      </vt:variant>
      <vt:variant>
        <vt:lpwstr/>
      </vt:variant>
      <vt:variant>
        <vt:lpwstr>_Toc27496398</vt:lpwstr>
      </vt:variant>
      <vt:variant>
        <vt:i4>1900601</vt:i4>
      </vt:variant>
      <vt:variant>
        <vt:i4>107</vt:i4>
      </vt:variant>
      <vt:variant>
        <vt:i4>0</vt:i4>
      </vt:variant>
      <vt:variant>
        <vt:i4>5</vt:i4>
      </vt:variant>
      <vt:variant>
        <vt:lpwstr/>
      </vt:variant>
      <vt:variant>
        <vt:lpwstr>_Toc27496397</vt:lpwstr>
      </vt:variant>
      <vt:variant>
        <vt:i4>1835065</vt:i4>
      </vt:variant>
      <vt:variant>
        <vt:i4>101</vt:i4>
      </vt:variant>
      <vt:variant>
        <vt:i4>0</vt:i4>
      </vt:variant>
      <vt:variant>
        <vt:i4>5</vt:i4>
      </vt:variant>
      <vt:variant>
        <vt:lpwstr/>
      </vt:variant>
      <vt:variant>
        <vt:lpwstr>_Toc27496396</vt:lpwstr>
      </vt:variant>
      <vt:variant>
        <vt:i4>2031673</vt:i4>
      </vt:variant>
      <vt:variant>
        <vt:i4>95</vt:i4>
      </vt:variant>
      <vt:variant>
        <vt:i4>0</vt:i4>
      </vt:variant>
      <vt:variant>
        <vt:i4>5</vt:i4>
      </vt:variant>
      <vt:variant>
        <vt:lpwstr/>
      </vt:variant>
      <vt:variant>
        <vt:lpwstr>_Toc27496395</vt:lpwstr>
      </vt:variant>
      <vt:variant>
        <vt:i4>1966137</vt:i4>
      </vt:variant>
      <vt:variant>
        <vt:i4>89</vt:i4>
      </vt:variant>
      <vt:variant>
        <vt:i4>0</vt:i4>
      </vt:variant>
      <vt:variant>
        <vt:i4>5</vt:i4>
      </vt:variant>
      <vt:variant>
        <vt:lpwstr/>
      </vt:variant>
      <vt:variant>
        <vt:lpwstr>_Toc27496394</vt:lpwstr>
      </vt:variant>
      <vt:variant>
        <vt:i4>1835056</vt:i4>
      </vt:variant>
      <vt:variant>
        <vt:i4>80</vt:i4>
      </vt:variant>
      <vt:variant>
        <vt:i4>0</vt:i4>
      </vt:variant>
      <vt:variant>
        <vt:i4>5</vt:i4>
      </vt:variant>
      <vt:variant>
        <vt:lpwstr/>
      </vt:variant>
      <vt:variant>
        <vt:lpwstr>_Toc31878835</vt:lpwstr>
      </vt:variant>
      <vt:variant>
        <vt:i4>1900592</vt:i4>
      </vt:variant>
      <vt:variant>
        <vt:i4>74</vt:i4>
      </vt:variant>
      <vt:variant>
        <vt:i4>0</vt:i4>
      </vt:variant>
      <vt:variant>
        <vt:i4>5</vt:i4>
      </vt:variant>
      <vt:variant>
        <vt:lpwstr/>
      </vt:variant>
      <vt:variant>
        <vt:lpwstr>_Toc31878834</vt:lpwstr>
      </vt:variant>
      <vt:variant>
        <vt:i4>1703984</vt:i4>
      </vt:variant>
      <vt:variant>
        <vt:i4>68</vt:i4>
      </vt:variant>
      <vt:variant>
        <vt:i4>0</vt:i4>
      </vt:variant>
      <vt:variant>
        <vt:i4>5</vt:i4>
      </vt:variant>
      <vt:variant>
        <vt:lpwstr/>
      </vt:variant>
      <vt:variant>
        <vt:lpwstr>_Toc31878833</vt:lpwstr>
      </vt:variant>
      <vt:variant>
        <vt:i4>1769520</vt:i4>
      </vt:variant>
      <vt:variant>
        <vt:i4>62</vt:i4>
      </vt:variant>
      <vt:variant>
        <vt:i4>0</vt:i4>
      </vt:variant>
      <vt:variant>
        <vt:i4>5</vt:i4>
      </vt:variant>
      <vt:variant>
        <vt:lpwstr/>
      </vt:variant>
      <vt:variant>
        <vt:lpwstr>_Toc31878832</vt:lpwstr>
      </vt:variant>
      <vt:variant>
        <vt:i4>1572912</vt:i4>
      </vt:variant>
      <vt:variant>
        <vt:i4>56</vt:i4>
      </vt:variant>
      <vt:variant>
        <vt:i4>0</vt:i4>
      </vt:variant>
      <vt:variant>
        <vt:i4>5</vt:i4>
      </vt:variant>
      <vt:variant>
        <vt:lpwstr/>
      </vt:variant>
      <vt:variant>
        <vt:lpwstr>_Toc31878831</vt:lpwstr>
      </vt:variant>
      <vt:variant>
        <vt:i4>1638448</vt:i4>
      </vt:variant>
      <vt:variant>
        <vt:i4>50</vt:i4>
      </vt:variant>
      <vt:variant>
        <vt:i4>0</vt:i4>
      </vt:variant>
      <vt:variant>
        <vt:i4>5</vt:i4>
      </vt:variant>
      <vt:variant>
        <vt:lpwstr/>
      </vt:variant>
      <vt:variant>
        <vt:lpwstr>_Toc31878830</vt:lpwstr>
      </vt:variant>
      <vt:variant>
        <vt:i4>1048625</vt:i4>
      </vt:variant>
      <vt:variant>
        <vt:i4>44</vt:i4>
      </vt:variant>
      <vt:variant>
        <vt:i4>0</vt:i4>
      </vt:variant>
      <vt:variant>
        <vt:i4>5</vt:i4>
      </vt:variant>
      <vt:variant>
        <vt:lpwstr/>
      </vt:variant>
      <vt:variant>
        <vt:lpwstr>_Toc31878829</vt:lpwstr>
      </vt:variant>
      <vt:variant>
        <vt:i4>1114161</vt:i4>
      </vt:variant>
      <vt:variant>
        <vt:i4>38</vt:i4>
      </vt:variant>
      <vt:variant>
        <vt:i4>0</vt:i4>
      </vt:variant>
      <vt:variant>
        <vt:i4>5</vt:i4>
      </vt:variant>
      <vt:variant>
        <vt:lpwstr/>
      </vt:variant>
      <vt:variant>
        <vt:lpwstr>_Toc31878828</vt:lpwstr>
      </vt:variant>
      <vt:variant>
        <vt:i4>1966129</vt:i4>
      </vt:variant>
      <vt:variant>
        <vt:i4>32</vt:i4>
      </vt:variant>
      <vt:variant>
        <vt:i4>0</vt:i4>
      </vt:variant>
      <vt:variant>
        <vt:i4>5</vt:i4>
      </vt:variant>
      <vt:variant>
        <vt:lpwstr/>
      </vt:variant>
      <vt:variant>
        <vt:lpwstr>_Toc31878827</vt:lpwstr>
      </vt:variant>
      <vt:variant>
        <vt:i4>2031665</vt:i4>
      </vt:variant>
      <vt:variant>
        <vt:i4>26</vt:i4>
      </vt:variant>
      <vt:variant>
        <vt:i4>0</vt:i4>
      </vt:variant>
      <vt:variant>
        <vt:i4>5</vt:i4>
      </vt:variant>
      <vt:variant>
        <vt:lpwstr/>
      </vt:variant>
      <vt:variant>
        <vt:lpwstr>_Toc31878826</vt:lpwstr>
      </vt:variant>
      <vt:variant>
        <vt:i4>1835057</vt:i4>
      </vt:variant>
      <vt:variant>
        <vt:i4>20</vt:i4>
      </vt:variant>
      <vt:variant>
        <vt:i4>0</vt:i4>
      </vt:variant>
      <vt:variant>
        <vt:i4>5</vt:i4>
      </vt:variant>
      <vt:variant>
        <vt:lpwstr/>
      </vt:variant>
      <vt:variant>
        <vt:lpwstr>_Toc31878825</vt:lpwstr>
      </vt:variant>
      <vt:variant>
        <vt:i4>1900593</vt:i4>
      </vt:variant>
      <vt:variant>
        <vt:i4>14</vt:i4>
      </vt:variant>
      <vt:variant>
        <vt:i4>0</vt:i4>
      </vt:variant>
      <vt:variant>
        <vt:i4>5</vt:i4>
      </vt:variant>
      <vt:variant>
        <vt:lpwstr/>
      </vt:variant>
      <vt:variant>
        <vt:lpwstr>_Toc31878824</vt:lpwstr>
      </vt:variant>
      <vt:variant>
        <vt:i4>1703985</vt:i4>
      </vt:variant>
      <vt:variant>
        <vt:i4>8</vt:i4>
      </vt:variant>
      <vt:variant>
        <vt:i4>0</vt:i4>
      </vt:variant>
      <vt:variant>
        <vt:i4>5</vt:i4>
      </vt:variant>
      <vt:variant>
        <vt:lpwstr/>
      </vt:variant>
      <vt:variant>
        <vt:lpwstr>_Toc31878823</vt:lpwstr>
      </vt:variant>
      <vt:variant>
        <vt:i4>1769521</vt:i4>
      </vt:variant>
      <vt:variant>
        <vt:i4>2</vt:i4>
      </vt:variant>
      <vt:variant>
        <vt:i4>0</vt:i4>
      </vt:variant>
      <vt:variant>
        <vt:i4>5</vt:i4>
      </vt:variant>
      <vt:variant>
        <vt:lpwstr/>
      </vt:variant>
      <vt:variant>
        <vt:lpwstr>_Toc31878822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VATMAN Talya, IEA/EXD/GER/EMAL</dc:creator>
  <cp:keywords/>
  <dc:description/>
  <cp:lastModifiedBy>Direcția surse de energie regenerabilă și mobilitate verde</cp:lastModifiedBy>
  <cp:revision>18</cp:revision>
  <cp:lastPrinted>2020-02-26T14:57:00Z</cp:lastPrinted>
  <dcterms:created xsi:type="dcterms:W3CDTF">2025-12-11T05:59:00Z</dcterms:created>
  <dcterms:modified xsi:type="dcterms:W3CDTF">2025-12-12T09:41:00Z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96d56d-d6c1-4ea5-bbc6-ad99330e732f_Enabled">
    <vt:lpwstr>true</vt:lpwstr>
  </property>
  <property fmtid="{D5CDD505-2E9C-101B-9397-08002B2CF9AE}" pid="3" name="MSIP_Label_3296d56d-d6c1-4ea5-bbc6-ad99330e732f_SetDate">
    <vt:lpwstr>2024-09-30T08:38:52Z</vt:lpwstr>
  </property>
  <property fmtid="{D5CDD505-2E9C-101B-9397-08002B2CF9AE}" pid="4" name="MSIP_Label_3296d56d-d6c1-4ea5-bbc6-ad99330e732f_Method">
    <vt:lpwstr>Privileged</vt:lpwstr>
  </property>
  <property fmtid="{D5CDD505-2E9C-101B-9397-08002B2CF9AE}" pid="5" name="MSIP_Label_3296d56d-d6c1-4ea5-bbc6-ad99330e732f_Name">
    <vt:lpwstr>UNCLASSIFIED</vt:lpwstr>
  </property>
  <property fmtid="{D5CDD505-2E9C-101B-9397-08002B2CF9AE}" pid="6" name="MSIP_Label_3296d56d-d6c1-4ea5-bbc6-ad99330e732f_SiteId">
    <vt:lpwstr>fe3d9bf9-cec4-4361-8b78-e6f3edbaa3d0</vt:lpwstr>
  </property>
  <property fmtid="{D5CDD505-2E9C-101B-9397-08002B2CF9AE}" pid="7" name="MSIP_Label_3296d56d-d6c1-4ea5-bbc6-ad99330e732f_ActionId">
    <vt:lpwstr>ed3e0e4b-7b6d-494f-b131-03abd7fe16e1</vt:lpwstr>
  </property>
  <property fmtid="{D5CDD505-2E9C-101B-9397-08002B2CF9AE}" pid="8" name="MSIP_Label_3296d56d-d6c1-4ea5-bbc6-ad99330e732f_ContentBits">
    <vt:lpwstr>0</vt:lpwstr>
  </property>
  <property fmtid="{D5CDD505-2E9C-101B-9397-08002B2CF9AE}" pid="9" name="ContentTypeId">
    <vt:lpwstr>0x010100B25342B675118142B9CE721AC3038D05</vt:lpwstr>
  </property>
  <property fmtid="{D5CDD505-2E9C-101B-9397-08002B2CF9AE}" pid="10" name="OECDDocumentId">
    <vt:lpwstr>C94BEC4B296E2561807C8B5D81C9838E6B3AEAD0AB4401CB6257C867CCD0BB36</vt:lpwstr>
  </property>
  <property fmtid="{D5CDD505-2E9C-101B-9397-08002B2CF9AE}" pid="11" name="OecdDocumentCoteLangHash">
    <vt:lpwstr/>
  </property>
  <property fmtid="{D5CDD505-2E9C-101B-9397-08002B2CF9AE}" pid="12" name="_activity">
    <vt:lpwstr/>
  </property>
</Properties>
</file>